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2F4A4" w14:textId="05E26B90" w:rsidR="00C64648" w:rsidRPr="00C64648" w:rsidRDefault="00C64648" w:rsidP="00C64648">
      <w:pPr>
        <w:pStyle w:val="a4"/>
        <w:rPr>
          <w:rFonts w:eastAsia="MS Mincho" w:cs="Arial"/>
          <w:bCs/>
          <w:sz w:val="22"/>
        </w:rPr>
      </w:pPr>
      <w:r w:rsidRPr="00C64648">
        <w:rPr>
          <w:rFonts w:eastAsia="MS Mincho" w:cs="Arial"/>
          <w:bCs/>
          <w:sz w:val="22"/>
        </w:rPr>
        <w:t xml:space="preserve">3GPP TSG RAN WG1 Meeting </w:t>
      </w:r>
      <w:r w:rsidR="00F650C8">
        <w:rPr>
          <w:rFonts w:eastAsia="MS Mincho" w:cs="Arial"/>
          <w:bCs/>
          <w:sz w:val="22"/>
        </w:rPr>
        <w:t>#</w:t>
      </w:r>
      <w:r w:rsidRPr="00C64648">
        <w:rPr>
          <w:rFonts w:eastAsia="MS Mincho" w:cs="Arial"/>
          <w:bCs/>
          <w:sz w:val="22"/>
        </w:rPr>
        <w:t xml:space="preserve">91 </w:t>
      </w:r>
      <w:r w:rsidRPr="00C64648">
        <w:rPr>
          <w:rFonts w:eastAsia="MS Mincho" w:cs="Arial"/>
          <w:bCs/>
          <w:sz w:val="22"/>
        </w:rPr>
        <w:tab/>
      </w:r>
      <w:r w:rsidRPr="00C64648">
        <w:rPr>
          <w:rFonts w:eastAsia="MS Mincho" w:cs="Arial"/>
          <w:bCs/>
          <w:sz w:val="22"/>
        </w:rPr>
        <w:tab/>
      </w:r>
      <w:r w:rsidRPr="00C64648">
        <w:rPr>
          <w:rFonts w:eastAsia="MS Mincho" w:cs="Arial"/>
          <w:bCs/>
          <w:sz w:val="22"/>
        </w:rPr>
        <w:tab/>
      </w:r>
      <w:r>
        <w:rPr>
          <w:rFonts w:eastAsia="MS Mincho" w:cs="Arial"/>
          <w:bCs/>
          <w:sz w:val="22"/>
        </w:rPr>
        <w:t xml:space="preserve">                      </w:t>
      </w:r>
      <w:r w:rsidR="00021A80">
        <w:rPr>
          <w:rFonts w:eastAsia="MS Mincho" w:cs="Arial"/>
          <w:bCs/>
          <w:sz w:val="22"/>
        </w:rPr>
        <w:t xml:space="preserve">             </w:t>
      </w:r>
      <w:r w:rsidR="0045723A" w:rsidRPr="0045723A">
        <w:rPr>
          <w:rFonts w:eastAsia="MS Mincho" w:cs="Arial"/>
          <w:bCs/>
          <w:sz w:val="22"/>
        </w:rPr>
        <w:t>R1-1719803</w:t>
      </w:r>
    </w:p>
    <w:p w14:paraId="67A74C0A" w14:textId="5776C83F" w:rsidR="00367877" w:rsidRPr="004F08FE" w:rsidRDefault="00C64648" w:rsidP="00C64648">
      <w:pPr>
        <w:pStyle w:val="a4"/>
        <w:rPr>
          <w:rFonts w:cs="Arial"/>
        </w:rPr>
      </w:pPr>
      <w:r w:rsidRPr="00C64648">
        <w:rPr>
          <w:rFonts w:eastAsia="MS Mincho" w:cs="Arial"/>
          <w:bCs/>
          <w:sz w:val="22"/>
        </w:rPr>
        <w:t>Reno, USA, November 27</w:t>
      </w:r>
      <w:r w:rsidRPr="000A47C1">
        <w:rPr>
          <w:rFonts w:eastAsia="MS Mincho" w:cs="Arial"/>
          <w:bCs/>
          <w:sz w:val="22"/>
          <w:vertAlign w:val="superscript"/>
        </w:rPr>
        <w:t>th</w:t>
      </w:r>
      <w:r w:rsidRPr="00C64648">
        <w:rPr>
          <w:rFonts w:eastAsia="MS Mincho" w:cs="Arial"/>
          <w:bCs/>
          <w:sz w:val="22"/>
        </w:rPr>
        <w:t xml:space="preserve"> – December 1</w:t>
      </w:r>
      <w:r w:rsidRPr="000A47C1">
        <w:rPr>
          <w:rFonts w:eastAsia="MS Mincho" w:cs="Arial"/>
          <w:bCs/>
          <w:sz w:val="22"/>
          <w:vertAlign w:val="superscript"/>
        </w:rPr>
        <w:t>st</w:t>
      </w:r>
      <w:r w:rsidRPr="00C64648">
        <w:rPr>
          <w:rFonts w:eastAsia="MS Mincho" w:cs="Arial"/>
          <w:bCs/>
          <w:sz w:val="22"/>
        </w:rPr>
        <w:t>, 2017</w:t>
      </w:r>
    </w:p>
    <w:p w14:paraId="6415D957" w14:textId="77777777" w:rsidR="000A47C1" w:rsidRDefault="000A47C1" w:rsidP="00D01CAE">
      <w:pPr>
        <w:pStyle w:val="a4"/>
        <w:tabs>
          <w:tab w:val="left" w:pos="1595"/>
        </w:tabs>
        <w:ind w:left="1800" w:hanging="1800"/>
        <w:rPr>
          <w:rFonts w:cs="Arial"/>
        </w:rPr>
      </w:pPr>
    </w:p>
    <w:p w14:paraId="181D15FE"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E61D93">
        <w:rPr>
          <w:rFonts w:cs="Arial"/>
        </w:rPr>
        <w:t>vivo</w:t>
      </w:r>
    </w:p>
    <w:p w14:paraId="2EE17C81" w14:textId="74909672"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840234" w:rsidRPr="00840234">
        <w:rPr>
          <w:rFonts w:cs="Arial"/>
        </w:rPr>
        <w:t xml:space="preserve">Remaining issues </w:t>
      </w:r>
      <w:r w:rsidR="00920E00" w:rsidRPr="00840234">
        <w:rPr>
          <w:rFonts w:cs="Arial"/>
        </w:rPr>
        <w:t xml:space="preserve">on </w:t>
      </w:r>
      <w:r w:rsidR="00920E00">
        <w:rPr>
          <w:rFonts w:cs="Arial"/>
        </w:rPr>
        <w:t>harmonic</w:t>
      </w:r>
      <w:r w:rsidR="00C17D4A">
        <w:rPr>
          <w:rFonts w:cs="Arial"/>
        </w:rPr>
        <w:t xml:space="preserve"> </w:t>
      </w:r>
      <w:r w:rsidR="00840234" w:rsidRPr="00840234">
        <w:rPr>
          <w:rFonts w:cs="Arial"/>
        </w:rPr>
        <w:t>interference handling</w:t>
      </w:r>
    </w:p>
    <w:p w14:paraId="1B72226E" w14:textId="3F848FB1"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840234">
        <w:rPr>
          <w:rFonts w:cs="Arial"/>
        </w:rPr>
        <w:t>7.5</w:t>
      </w:r>
    </w:p>
    <w:p w14:paraId="049F86F8"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E61D93">
        <w:rPr>
          <w:rFonts w:cs="Arial"/>
        </w:rPr>
        <w:t>Discussion and Decision</w:t>
      </w:r>
    </w:p>
    <w:p w14:paraId="770983A0"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2798B320" w14:textId="19185F55" w:rsidR="00840234" w:rsidRDefault="00840234" w:rsidP="00840234">
      <w:pPr>
        <w:pStyle w:val="a0"/>
        <w:rPr>
          <w:rFonts w:ascii="Times New Roman" w:hAnsi="Times New Roman"/>
          <w:szCs w:val="20"/>
          <w:lang w:eastAsia="ja-JP"/>
        </w:rPr>
      </w:pPr>
      <w:r>
        <w:rPr>
          <w:rFonts w:eastAsia="宋体"/>
          <w:lang w:val="en-GB" w:eastAsia="zh-CN"/>
        </w:rPr>
        <w:t xml:space="preserve">In </w:t>
      </w:r>
      <w:r w:rsidRPr="001F3036">
        <w:rPr>
          <w:rFonts w:eastAsia="宋体"/>
          <w:lang w:val="en-GB" w:eastAsia="zh-CN"/>
        </w:rPr>
        <w:t xml:space="preserve">3GPP TSG RAN WG1 </w:t>
      </w:r>
      <w:r w:rsidR="001051DC" w:rsidRPr="001F3036">
        <w:rPr>
          <w:rFonts w:eastAsia="宋体"/>
          <w:lang w:val="en-GB" w:eastAsia="zh-CN"/>
        </w:rPr>
        <w:t>#90</w:t>
      </w:r>
      <w:r w:rsidRPr="001F3036">
        <w:rPr>
          <w:rFonts w:eastAsia="宋体"/>
          <w:lang w:val="en-GB" w:eastAsia="zh-CN"/>
        </w:rPr>
        <w:t>Meeting</w:t>
      </w:r>
      <w:r>
        <w:rPr>
          <w:rFonts w:eastAsia="宋体"/>
          <w:lang w:val="en-GB" w:eastAsia="zh-CN"/>
        </w:rPr>
        <w:t xml:space="preserve">, there are some discussions to handle the </w:t>
      </w:r>
      <w:r w:rsidRPr="0017218E">
        <w:rPr>
          <w:szCs w:val="20"/>
          <w:lang w:eastAsia="ja-JP"/>
        </w:rPr>
        <w:t xml:space="preserve">harmonic interference for UE </w:t>
      </w:r>
      <w:proofErr w:type="gramStart"/>
      <w:r w:rsidRPr="0017218E">
        <w:rPr>
          <w:szCs w:val="20"/>
          <w:lang w:eastAsia="ja-JP"/>
        </w:rPr>
        <w:t>configured</w:t>
      </w:r>
      <w:proofErr w:type="gramEnd"/>
      <w:r w:rsidRPr="0017218E">
        <w:rPr>
          <w:szCs w:val="20"/>
          <w:lang w:eastAsia="ja-JP"/>
        </w:rPr>
        <w:t xml:space="preserve"> with EN-DC</w:t>
      </w:r>
      <w:r>
        <w:rPr>
          <w:rFonts w:eastAsia="宋体"/>
          <w:lang w:val="en-GB" w:eastAsia="zh-CN"/>
        </w:rPr>
        <w:t>. The following WF</w:t>
      </w:r>
      <w:r>
        <w:rPr>
          <w:rFonts w:eastAsia="宋体" w:hint="eastAsia"/>
          <w:lang w:val="en-GB" w:eastAsia="zh-CN"/>
        </w:rPr>
        <w:t>s</w:t>
      </w:r>
      <w:r>
        <w:rPr>
          <w:rFonts w:eastAsia="宋体"/>
          <w:lang w:val="en-GB" w:eastAsia="zh-CN"/>
        </w:rPr>
        <w:t xml:space="preserve"> on solutions </w:t>
      </w:r>
      <w:r w:rsidR="00C17D4A">
        <w:rPr>
          <w:rFonts w:eastAsia="宋体"/>
          <w:lang w:val="en-GB" w:eastAsia="zh-CN"/>
        </w:rPr>
        <w:t xml:space="preserve">framework </w:t>
      </w:r>
      <w:r>
        <w:rPr>
          <w:rFonts w:eastAsia="宋体" w:hint="eastAsia"/>
          <w:lang w:val="en-GB" w:eastAsia="zh-CN"/>
        </w:rPr>
        <w:t>were</w:t>
      </w:r>
      <w:r>
        <w:rPr>
          <w:rFonts w:eastAsia="宋体"/>
          <w:lang w:val="en-GB" w:eastAsia="zh-CN"/>
        </w:rPr>
        <w:t xml:space="preserve"> agreed</w:t>
      </w:r>
      <w:r>
        <w:rPr>
          <w:rFonts w:ascii="Times New Roman"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840234" w14:paraId="5C022098" w14:textId="77777777" w:rsidTr="005A2E37">
        <w:tc>
          <w:tcPr>
            <w:tcW w:w="9019" w:type="dxa"/>
          </w:tcPr>
          <w:p w14:paraId="6EEEA474" w14:textId="77777777" w:rsidR="00840234" w:rsidRPr="00952E6C" w:rsidRDefault="00840234" w:rsidP="005A2E37">
            <w:pPr>
              <w:rPr>
                <w:sz w:val="20"/>
                <w:szCs w:val="20"/>
                <w:lang w:eastAsia="ja-JP"/>
              </w:rPr>
            </w:pPr>
            <w:r w:rsidRPr="00952E6C">
              <w:rPr>
                <w:sz w:val="20"/>
                <w:szCs w:val="20"/>
                <w:highlight w:val="green"/>
                <w:lang w:eastAsia="ja-JP"/>
              </w:rPr>
              <w:t>Agreements</w:t>
            </w:r>
            <w:r w:rsidRPr="00952E6C">
              <w:rPr>
                <w:sz w:val="20"/>
                <w:szCs w:val="20"/>
                <w:lang w:eastAsia="ja-JP"/>
              </w:rPr>
              <w:t>:</w:t>
            </w:r>
          </w:p>
          <w:p w14:paraId="5427DA9E" w14:textId="05DAC3AF" w:rsidR="00840234" w:rsidRPr="0017218E" w:rsidRDefault="00840234" w:rsidP="0070374D">
            <w:pPr>
              <w:pStyle w:val="a0"/>
              <w:numPr>
                <w:ilvl w:val="0"/>
                <w:numId w:val="11"/>
              </w:numPr>
              <w:rPr>
                <w:szCs w:val="20"/>
                <w:lang w:eastAsia="ja-JP"/>
              </w:rPr>
            </w:pPr>
            <w:r w:rsidRPr="0017218E">
              <w:rPr>
                <w:szCs w:val="20"/>
                <w:lang w:eastAsia="ja-JP"/>
              </w:rPr>
              <w:t xml:space="preserve">Following Backhaul </w:t>
            </w:r>
            <w:r w:rsidR="00C3694F" w:rsidRPr="0017218E">
              <w:rPr>
                <w:szCs w:val="20"/>
                <w:lang w:eastAsia="ja-JP"/>
              </w:rPr>
              <w:t>signaling</w:t>
            </w:r>
            <w:r w:rsidRPr="0017218E">
              <w:rPr>
                <w:szCs w:val="20"/>
                <w:lang w:eastAsia="ja-JP"/>
              </w:rPr>
              <w:t xml:space="preserve"> is specified (enhanced X2 and </w:t>
            </w:r>
            <w:proofErr w:type="spellStart"/>
            <w:r w:rsidRPr="0017218E">
              <w:rPr>
                <w:szCs w:val="20"/>
                <w:lang w:eastAsia="ja-JP"/>
              </w:rPr>
              <w:t>Xn</w:t>
            </w:r>
            <w:proofErr w:type="spellEnd"/>
            <w:r w:rsidRPr="0017218E">
              <w:rPr>
                <w:szCs w:val="20"/>
                <w:lang w:eastAsia="ja-JP"/>
              </w:rPr>
              <w:t xml:space="preserve">) to facilitate time-domain and frequency domain based network scheduling solution in case of harmonic interference from UL to DL, send LS to RAN3 to ask them to specify the </w:t>
            </w:r>
            <w:r w:rsidR="00C3694F" w:rsidRPr="0017218E">
              <w:rPr>
                <w:szCs w:val="20"/>
                <w:lang w:eastAsia="ja-JP"/>
              </w:rPr>
              <w:t>signaling</w:t>
            </w:r>
            <w:r w:rsidRPr="0017218E">
              <w:rPr>
                <w:szCs w:val="20"/>
                <w:lang w:eastAsia="ja-JP"/>
              </w:rPr>
              <w:t xml:space="preserve"> details:</w:t>
            </w:r>
          </w:p>
          <w:p w14:paraId="17FACF92" w14:textId="4C71A48A" w:rsidR="00840234" w:rsidRPr="0017218E"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Semi-static time pattern indicating intended reception/transmission on an LTE UL carrier and an NR DL carrier on non-overlapping frequencies </w:t>
            </w:r>
          </w:p>
          <w:p w14:paraId="0BF9C44C" w14:textId="3EC225B7" w:rsidR="00840234" w:rsidRPr="0017218E"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Semi-static frequency pattern indicating intended reception/transmission on an LTE UL carrier and an NR DL carrier on non-overlapping frequencies </w:t>
            </w:r>
          </w:p>
          <w:p w14:paraId="49E7C876" w14:textId="392DA051" w:rsidR="00840234" w:rsidRPr="0086688B"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These patterns can be at least UE-specific. </w:t>
            </w:r>
          </w:p>
        </w:tc>
      </w:tr>
    </w:tbl>
    <w:p w14:paraId="72181680" w14:textId="77777777" w:rsidR="00C17D4A" w:rsidRDefault="00C17D4A" w:rsidP="003C6721">
      <w:pPr>
        <w:pStyle w:val="a0"/>
        <w:rPr>
          <w:rFonts w:eastAsia="宋体"/>
          <w:lang w:eastAsia="zh-CN"/>
        </w:rPr>
      </w:pPr>
    </w:p>
    <w:p w14:paraId="60A9C60C" w14:textId="41309A59" w:rsidR="00AA281E" w:rsidRDefault="00C17D4A" w:rsidP="003C6721">
      <w:pPr>
        <w:pStyle w:val="a0"/>
        <w:rPr>
          <w:rFonts w:eastAsia="宋体"/>
          <w:lang w:eastAsia="zh-CN"/>
        </w:rPr>
      </w:pPr>
      <w:r>
        <w:rPr>
          <w:rFonts w:eastAsia="宋体"/>
          <w:lang w:eastAsia="zh-CN"/>
        </w:rPr>
        <w:t xml:space="preserve">To handle the IMD issues, single uplink transmission is agreed together with the HARQ timing for LTE carriers [2]. </w:t>
      </w:r>
      <w:r w:rsidR="007D65F9">
        <w:rPr>
          <w:rFonts w:eastAsia="宋体"/>
          <w:lang w:eastAsia="zh-CN"/>
        </w:rPr>
        <w:t xml:space="preserve">Besides </w:t>
      </w:r>
      <w:r w:rsidR="007D65F9" w:rsidRPr="006A1620">
        <w:rPr>
          <w:rFonts w:eastAsia="MS Mincho"/>
          <w:szCs w:val="20"/>
          <w:lang w:eastAsia="ja-JP"/>
        </w:rPr>
        <w:t>LTE-FDD HARQ timing</w:t>
      </w:r>
      <w:r w:rsidR="007D65F9">
        <w:rPr>
          <w:rFonts w:eastAsia="MS Mincho"/>
          <w:szCs w:val="20"/>
          <w:lang w:eastAsia="ja-JP"/>
        </w:rPr>
        <w:t xml:space="preserve"> (Case 2), </w:t>
      </w:r>
      <w:r w:rsidR="007D65F9" w:rsidRPr="006A1620">
        <w:rPr>
          <w:rFonts w:eastAsia="MS Mincho"/>
          <w:szCs w:val="20"/>
          <w:lang w:eastAsia="ja-JP"/>
        </w:rPr>
        <w:t>DL-reference UL/DL configuration</w:t>
      </w:r>
      <w:r w:rsidR="007D65F9">
        <w:rPr>
          <w:rFonts w:eastAsia="MS Mincho"/>
          <w:szCs w:val="20"/>
          <w:lang w:eastAsia="ja-JP"/>
        </w:rPr>
        <w:t xml:space="preserve"> (Case 1) can also be used for </w:t>
      </w:r>
      <w:r w:rsidR="007D65F9" w:rsidRPr="006A1620">
        <w:rPr>
          <w:rFonts w:eastAsia="MS Mincho"/>
          <w:szCs w:val="20"/>
          <w:lang w:eastAsia="ja-JP"/>
        </w:rPr>
        <w:t>scheduling/HARQ timing</w:t>
      </w:r>
      <w:r w:rsidR="002877BC">
        <w:rPr>
          <w:rFonts w:eastAsia="MS Mincho"/>
          <w:szCs w:val="20"/>
          <w:lang w:eastAsia="ja-JP"/>
        </w:rPr>
        <w:t xml:space="preserve"> for LTE carrier</w:t>
      </w:r>
      <w:r w:rsidR="007D65F9">
        <w:rPr>
          <w:rFonts w:eastAsia="MS Mincho"/>
          <w:szCs w:val="20"/>
          <w:lang w:eastAsia="ja-JP"/>
        </w:rPr>
        <w:t xml:space="preserve">, to make full use of LTE DL </w:t>
      </w:r>
      <w:proofErr w:type="spellStart"/>
      <w:r w:rsidR="007D65F9">
        <w:rPr>
          <w:rFonts w:eastAsia="MS Mincho"/>
          <w:szCs w:val="20"/>
          <w:lang w:eastAsia="ja-JP"/>
        </w:rPr>
        <w:t>subframes</w:t>
      </w:r>
      <w:proofErr w:type="spellEnd"/>
      <w:r w:rsidR="007D65F9">
        <w:rPr>
          <w:rFonts w:eastAsia="MS Mincho"/>
          <w:szCs w:val="20"/>
          <w:lang w:eastAsia="ja-JP"/>
        </w:rPr>
        <w:t>.</w:t>
      </w:r>
    </w:p>
    <w:tbl>
      <w:tblPr>
        <w:tblStyle w:val="a8"/>
        <w:tblW w:w="0" w:type="auto"/>
        <w:tblLook w:val="04A0" w:firstRow="1" w:lastRow="0" w:firstColumn="1" w:lastColumn="0" w:noHBand="0" w:noVBand="1"/>
      </w:tblPr>
      <w:tblGrid>
        <w:gridCol w:w="9019"/>
      </w:tblGrid>
      <w:tr w:rsidR="00AA281E" w:rsidRPr="00AA281E" w14:paraId="73B7D454" w14:textId="77777777" w:rsidTr="00AA281E">
        <w:tc>
          <w:tcPr>
            <w:tcW w:w="9019" w:type="dxa"/>
          </w:tcPr>
          <w:p w14:paraId="68F35F14" w14:textId="77777777" w:rsidR="004778A2" w:rsidRPr="006A1620" w:rsidRDefault="004778A2" w:rsidP="004778A2">
            <w:pPr>
              <w:rPr>
                <w:rFonts w:eastAsia="MS Mincho"/>
                <w:sz w:val="20"/>
                <w:szCs w:val="20"/>
                <w:highlight w:val="darkYellow"/>
                <w:lang w:eastAsia="ja-JP"/>
              </w:rPr>
            </w:pPr>
            <w:r w:rsidRPr="006A1620">
              <w:rPr>
                <w:rFonts w:eastAsia="MS Mincho"/>
                <w:sz w:val="20"/>
                <w:szCs w:val="20"/>
                <w:highlight w:val="green"/>
                <w:lang w:eastAsia="ja-JP"/>
              </w:rPr>
              <w:t>Agreements</w:t>
            </w:r>
            <w:r w:rsidRPr="006A1620">
              <w:rPr>
                <w:rFonts w:eastAsia="MS Mincho"/>
                <w:sz w:val="20"/>
                <w:szCs w:val="20"/>
                <w:lang w:eastAsia="ja-JP"/>
              </w:rPr>
              <w:t>:</w:t>
            </w:r>
          </w:p>
          <w:p w14:paraId="5B9369F7" w14:textId="77777777" w:rsidR="004778A2" w:rsidRPr="006A1620" w:rsidRDefault="004778A2" w:rsidP="004778A2">
            <w:pPr>
              <w:numPr>
                <w:ilvl w:val="0"/>
                <w:numId w:val="12"/>
              </w:numPr>
              <w:tabs>
                <w:tab w:val="left" w:pos="1440"/>
              </w:tabs>
              <w:rPr>
                <w:rFonts w:eastAsia="MS Mincho"/>
                <w:sz w:val="20"/>
                <w:szCs w:val="20"/>
                <w:lang w:eastAsia="ja-JP"/>
              </w:rPr>
            </w:pPr>
            <w:r w:rsidRPr="006A1620">
              <w:rPr>
                <w:rFonts w:eastAsia="MS Mincho"/>
                <w:sz w:val="20"/>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4155118E" w14:textId="77777777" w:rsidR="004778A2" w:rsidRPr="006A1620" w:rsidRDefault="004778A2" w:rsidP="004778A2">
            <w:pPr>
              <w:numPr>
                <w:ilvl w:val="1"/>
                <w:numId w:val="12"/>
              </w:numPr>
              <w:rPr>
                <w:rFonts w:eastAsia="MS Mincho"/>
                <w:sz w:val="20"/>
                <w:szCs w:val="20"/>
                <w:lang w:eastAsia="ja-JP"/>
              </w:rPr>
            </w:pPr>
            <w:r>
              <w:rPr>
                <w:rFonts w:eastAsia="MS Mincho"/>
                <w:sz w:val="20"/>
                <w:szCs w:val="20"/>
                <w:lang w:eastAsia="ja-JP"/>
              </w:rPr>
              <w:t xml:space="preserve">For LTE carrier, </w:t>
            </w:r>
            <w:r w:rsidRPr="006A1620">
              <w:rPr>
                <w:rFonts w:eastAsia="MS Mincho"/>
                <w:sz w:val="20"/>
                <w:szCs w:val="20"/>
                <w:lang w:eastAsia="ja-JP"/>
              </w:rPr>
              <w:t xml:space="preserve">UE can be configured with </w:t>
            </w:r>
          </w:p>
          <w:p w14:paraId="778F52D8" w14:textId="77777777" w:rsidR="004778A2" w:rsidRPr="006A1620" w:rsidRDefault="004778A2" w:rsidP="004778A2">
            <w:pPr>
              <w:numPr>
                <w:ilvl w:val="2"/>
                <w:numId w:val="12"/>
              </w:numPr>
              <w:tabs>
                <w:tab w:val="left" w:pos="1440"/>
              </w:tabs>
              <w:rPr>
                <w:rFonts w:eastAsia="MS Mincho"/>
                <w:sz w:val="20"/>
                <w:szCs w:val="20"/>
                <w:lang w:eastAsia="ja-JP"/>
              </w:rPr>
            </w:pPr>
            <w:r w:rsidRPr="006A1620">
              <w:rPr>
                <w:rFonts w:eastAsia="MS Mincho"/>
                <w:sz w:val="20"/>
                <w:szCs w:val="20"/>
                <w:lang w:eastAsia="ja-JP"/>
              </w:rPr>
              <w:t>Case 1: DL-reference UL/DL configuration defined for LTE-FDD-</w:t>
            </w:r>
            <w:proofErr w:type="spellStart"/>
            <w:r w:rsidRPr="006A1620">
              <w:rPr>
                <w:rFonts w:eastAsia="MS Mincho"/>
                <w:sz w:val="20"/>
                <w:szCs w:val="20"/>
                <w:lang w:eastAsia="ja-JP"/>
              </w:rPr>
              <w:t>SCell</w:t>
            </w:r>
            <w:proofErr w:type="spellEnd"/>
            <w:r w:rsidRPr="006A1620">
              <w:rPr>
                <w:rFonts w:eastAsia="MS Mincho"/>
                <w:sz w:val="20"/>
                <w:szCs w:val="20"/>
                <w:lang w:eastAsia="ja-JP"/>
              </w:rPr>
              <w:t xml:space="preserve"> in LT</w:t>
            </w:r>
            <w:r>
              <w:rPr>
                <w:rFonts w:eastAsia="MS Mincho"/>
                <w:sz w:val="20"/>
                <w:szCs w:val="20"/>
                <w:lang w:eastAsia="ja-JP"/>
              </w:rPr>
              <w:t>E-TDD-FDD CA with LTE-TDD-</w:t>
            </w:r>
            <w:proofErr w:type="spellStart"/>
            <w:r>
              <w:rPr>
                <w:rFonts w:eastAsia="MS Mincho"/>
                <w:sz w:val="20"/>
                <w:szCs w:val="20"/>
                <w:lang w:eastAsia="ja-JP"/>
              </w:rPr>
              <w:t>PCell</w:t>
            </w:r>
            <w:proofErr w:type="spellEnd"/>
          </w:p>
          <w:p w14:paraId="506A15A3" w14:textId="77777777" w:rsidR="004778A2" w:rsidRPr="006A1620" w:rsidRDefault="004778A2" w:rsidP="004778A2">
            <w:pPr>
              <w:numPr>
                <w:ilvl w:val="3"/>
                <w:numId w:val="12"/>
              </w:numPr>
              <w:tabs>
                <w:tab w:val="left" w:pos="1440"/>
              </w:tabs>
              <w:rPr>
                <w:rFonts w:eastAsia="MS Mincho"/>
                <w:sz w:val="20"/>
                <w:szCs w:val="20"/>
                <w:lang w:eastAsia="ja-JP"/>
              </w:rPr>
            </w:pPr>
            <w:r w:rsidRPr="006A1620">
              <w:rPr>
                <w:rFonts w:eastAsia="MS Mincho"/>
                <w:sz w:val="20"/>
                <w:szCs w:val="20"/>
                <w:lang w:eastAsia="ja-JP"/>
              </w:rPr>
              <w:t>For scheduling/HARQ timing of LTE FDD carrier, DL-reference UL/DL configuration defined for LTE-FDD-</w:t>
            </w:r>
            <w:proofErr w:type="spellStart"/>
            <w:r w:rsidRPr="006A1620">
              <w:rPr>
                <w:rFonts w:eastAsia="MS Mincho"/>
                <w:sz w:val="20"/>
                <w:szCs w:val="20"/>
                <w:lang w:eastAsia="ja-JP"/>
              </w:rPr>
              <w:t>SCell</w:t>
            </w:r>
            <w:proofErr w:type="spellEnd"/>
            <w:r w:rsidRPr="006A1620">
              <w:rPr>
                <w:rFonts w:eastAsia="MS Mincho"/>
                <w:sz w:val="20"/>
                <w:szCs w:val="20"/>
                <w:lang w:eastAsia="ja-JP"/>
              </w:rPr>
              <w:t xml:space="preserve"> in LTE-TDD-FDD CA with LTE-TDD-</w:t>
            </w:r>
            <w:proofErr w:type="spellStart"/>
            <w:r w:rsidRPr="006A1620">
              <w:rPr>
                <w:rFonts w:eastAsia="MS Mincho"/>
                <w:sz w:val="20"/>
                <w:szCs w:val="20"/>
                <w:lang w:eastAsia="ja-JP"/>
              </w:rPr>
              <w:t>PCell</w:t>
            </w:r>
            <w:proofErr w:type="spellEnd"/>
            <w:r w:rsidRPr="006A1620">
              <w:rPr>
                <w:rFonts w:eastAsia="MS Mincho"/>
                <w:sz w:val="20"/>
                <w:szCs w:val="20"/>
                <w:lang w:eastAsia="ja-JP"/>
              </w:rPr>
              <w:t xml:space="preserve"> is applied</w:t>
            </w:r>
          </w:p>
          <w:p w14:paraId="10CD0115" w14:textId="77777777" w:rsidR="004778A2" w:rsidRPr="006A1620" w:rsidRDefault="004778A2" w:rsidP="004778A2">
            <w:pPr>
              <w:numPr>
                <w:ilvl w:val="3"/>
                <w:numId w:val="12"/>
              </w:numPr>
              <w:tabs>
                <w:tab w:val="left" w:pos="1440"/>
              </w:tabs>
              <w:rPr>
                <w:rFonts w:eastAsia="MS Mincho"/>
                <w:sz w:val="20"/>
                <w:szCs w:val="20"/>
                <w:lang w:eastAsia="ja-JP"/>
              </w:rPr>
            </w:pPr>
            <w:r w:rsidRPr="006A1620">
              <w:rPr>
                <w:rFonts w:eastAsia="MS Mincho"/>
                <w:sz w:val="20"/>
                <w:szCs w:val="20"/>
                <w:lang w:eastAsia="ja-JP"/>
              </w:rPr>
              <w:t xml:space="preserve">UE is allowed to transmit NR UL signals at least in the </w:t>
            </w:r>
            <w:proofErr w:type="spellStart"/>
            <w:r w:rsidRPr="006A1620">
              <w:rPr>
                <w:rFonts w:eastAsia="MS Mincho"/>
                <w:sz w:val="20"/>
                <w:szCs w:val="20"/>
                <w:lang w:eastAsia="ja-JP"/>
              </w:rPr>
              <w:t>subframe</w:t>
            </w:r>
            <w:proofErr w:type="spellEnd"/>
            <w:r w:rsidRPr="006A1620">
              <w:rPr>
                <w:rFonts w:eastAsia="MS Mincho"/>
                <w:sz w:val="20"/>
                <w:szCs w:val="20"/>
                <w:lang w:eastAsia="ja-JP"/>
              </w:rPr>
              <w:t>(s) where LTE UL transmission is not allowed according to the DL-reference UL/DL configuration</w:t>
            </w:r>
          </w:p>
          <w:p w14:paraId="23AF4791" w14:textId="77777777" w:rsidR="004778A2" w:rsidRPr="006A1620" w:rsidRDefault="004778A2" w:rsidP="004778A2">
            <w:pPr>
              <w:numPr>
                <w:ilvl w:val="3"/>
                <w:numId w:val="12"/>
              </w:numPr>
              <w:tabs>
                <w:tab w:val="left" w:pos="1440"/>
              </w:tabs>
              <w:rPr>
                <w:rFonts w:eastAsia="MS Mincho"/>
                <w:sz w:val="20"/>
                <w:szCs w:val="20"/>
                <w:lang w:eastAsia="ja-JP"/>
              </w:rPr>
            </w:pPr>
            <w:r w:rsidRPr="006A1620">
              <w:rPr>
                <w:rFonts w:eastAsia="MS Mincho"/>
                <w:sz w:val="20"/>
                <w:szCs w:val="20"/>
                <w:lang w:eastAsia="ja-JP"/>
              </w:rPr>
              <w:t xml:space="preserve">FFS whether or not a UE-specific </w:t>
            </w:r>
            <w:proofErr w:type="spellStart"/>
            <w:r w:rsidRPr="006A1620">
              <w:rPr>
                <w:rFonts w:eastAsia="MS Mincho"/>
                <w:sz w:val="20"/>
                <w:szCs w:val="20"/>
                <w:lang w:eastAsia="ja-JP"/>
              </w:rPr>
              <w:t>subframe</w:t>
            </w:r>
            <w:proofErr w:type="spellEnd"/>
            <w:r w:rsidRPr="006A1620">
              <w:rPr>
                <w:rFonts w:eastAsia="MS Mincho"/>
                <w:sz w:val="20"/>
                <w:szCs w:val="20"/>
                <w:lang w:eastAsia="ja-JP"/>
              </w:rPr>
              <w:t xml:space="preserve"> offset for the DL-reference UL/DL configuration can be configured considering system resource utilization and potential spec impact</w:t>
            </w:r>
          </w:p>
          <w:p w14:paraId="16593D5A" w14:textId="77777777" w:rsidR="004778A2" w:rsidRPr="006A1620" w:rsidRDefault="004778A2" w:rsidP="004778A2">
            <w:pPr>
              <w:numPr>
                <w:ilvl w:val="2"/>
                <w:numId w:val="12"/>
              </w:numPr>
              <w:tabs>
                <w:tab w:val="left" w:pos="1440"/>
              </w:tabs>
              <w:rPr>
                <w:rFonts w:eastAsia="MS Mincho"/>
                <w:sz w:val="20"/>
                <w:szCs w:val="20"/>
                <w:lang w:eastAsia="ja-JP"/>
              </w:rPr>
            </w:pPr>
            <w:r w:rsidRPr="006A1620">
              <w:rPr>
                <w:rFonts w:eastAsia="MS Mincho"/>
                <w:sz w:val="20"/>
                <w:szCs w:val="20"/>
                <w:lang w:eastAsia="ja-JP"/>
              </w:rPr>
              <w:t>Case 2: Release 15 LTE-FDD HARQ timing</w:t>
            </w:r>
          </w:p>
          <w:p w14:paraId="78935798" w14:textId="77777777" w:rsidR="004778A2" w:rsidRPr="006A1620" w:rsidRDefault="004778A2" w:rsidP="004778A2">
            <w:pPr>
              <w:numPr>
                <w:ilvl w:val="3"/>
                <w:numId w:val="12"/>
              </w:numPr>
              <w:tabs>
                <w:tab w:val="left" w:pos="1440"/>
              </w:tabs>
              <w:rPr>
                <w:rFonts w:eastAsia="MS Mincho"/>
                <w:sz w:val="20"/>
                <w:szCs w:val="20"/>
                <w:lang w:eastAsia="ja-JP"/>
              </w:rPr>
            </w:pPr>
            <w:r w:rsidRPr="006A1620">
              <w:rPr>
                <w:rFonts w:eastAsia="MS Mincho"/>
                <w:sz w:val="20"/>
                <w:szCs w:val="20"/>
                <w:lang w:eastAsia="ja-JP"/>
              </w:rPr>
              <w:t>No impact on LTE RAN1 specifications</w:t>
            </w:r>
          </w:p>
          <w:p w14:paraId="72D515F2" w14:textId="78A82589" w:rsidR="00AA281E" w:rsidRPr="004778A2" w:rsidRDefault="004778A2" w:rsidP="004778A2">
            <w:pPr>
              <w:numPr>
                <w:ilvl w:val="2"/>
                <w:numId w:val="12"/>
              </w:numPr>
              <w:tabs>
                <w:tab w:val="left" w:pos="1440"/>
              </w:tabs>
              <w:rPr>
                <w:rFonts w:eastAsia="宋体"/>
                <w:sz w:val="20"/>
                <w:szCs w:val="20"/>
                <w:lang w:val="en-GB" w:eastAsia="zh-CN"/>
              </w:rPr>
            </w:pPr>
            <w:r w:rsidRPr="006A1620">
              <w:rPr>
                <w:rFonts w:eastAsia="MS Mincho"/>
                <w:sz w:val="20"/>
                <w:szCs w:val="20"/>
                <w:lang w:eastAsia="ja-JP"/>
              </w:rPr>
              <w:t>Note: it doesn’t necessarily imply that UE has to support both cases</w:t>
            </w:r>
          </w:p>
        </w:tc>
      </w:tr>
    </w:tbl>
    <w:p w14:paraId="390239E2" w14:textId="77777777" w:rsidR="00C17D4A" w:rsidRDefault="00C17D4A" w:rsidP="003C6721">
      <w:pPr>
        <w:pStyle w:val="a0"/>
        <w:rPr>
          <w:rFonts w:eastAsia="宋体"/>
          <w:lang w:eastAsia="zh-CN"/>
        </w:rPr>
      </w:pPr>
    </w:p>
    <w:p w14:paraId="25736D78" w14:textId="607B541F" w:rsidR="00C17D4A" w:rsidRDefault="004C2B35" w:rsidP="003C6721">
      <w:pPr>
        <w:pStyle w:val="a0"/>
        <w:rPr>
          <w:rFonts w:eastAsia="宋体"/>
          <w:lang w:eastAsia="zh-CN"/>
        </w:rPr>
      </w:pPr>
      <w:r>
        <w:rPr>
          <w:rFonts w:eastAsia="宋体"/>
          <w:lang w:eastAsia="zh-CN"/>
        </w:rPr>
        <w:t>Additionally</w:t>
      </w:r>
      <w:r w:rsidR="007D65F9">
        <w:rPr>
          <w:rFonts w:eastAsia="宋体"/>
          <w:lang w:eastAsia="zh-CN"/>
        </w:rPr>
        <w:t xml:space="preserve">, for Case 1, </w:t>
      </w:r>
      <w:r w:rsidR="007D65F9" w:rsidRPr="00C17D4A">
        <w:rPr>
          <w:rFonts w:eastAsia="宋体"/>
          <w:lang w:eastAsia="zh-CN"/>
        </w:rPr>
        <w:t xml:space="preserve">a UE-specific HARQ </w:t>
      </w:r>
      <w:proofErr w:type="spellStart"/>
      <w:r w:rsidR="007D65F9" w:rsidRPr="00C17D4A">
        <w:rPr>
          <w:rFonts w:eastAsia="宋体"/>
          <w:lang w:eastAsia="zh-CN"/>
        </w:rPr>
        <w:t>subframe</w:t>
      </w:r>
      <w:proofErr w:type="spellEnd"/>
      <w:r w:rsidR="007D65F9" w:rsidRPr="00C17D4A">
        <w:rPr>
          <w:rFonts w:eastAsia="宋体"/>
          <w:lang w:eastAsia="zh-CN"/>
        </w:rPr>
        <w:t xml:space="preserve"> offset</w:t>
      </w:r>
      <w:r w:rsidR="007D65F9">
        <w:rPr>
          <w:rFonts w:eastAsia="宋体"/>
          <w:lang w:eastAsia="zh-CN"/>
        </w:rPr>
        <w:t xml:space="preserve"> </w:t>
      </w:r>
      <w:r>
        <w:rPr>
          <w:rFonts w:eastAsia="宋体"/>
          <w:lang w:eastAsia="zh-CN"/>
        </w:rPr>
        <w:t xml:space="preserve">for DL HARQ, UL HARQ and UL scheduling </w:t>
      </w:r>
      <w:r w:rsidR="007D65F9">
        <w:rPr>
          <w:rFonts w:eastAsia="宋体"/>
          <w:lang w:eastAsia="zh-CN"/>
        </w:rPr>
        <w:t>is agreed by email discussion</w:t>
      </w:r>
      <w:r w:rsidR="002877BC">
        <w:rPr>
          <w:rFonts w:eastAsia="宋体"/>
          <w:lang w:eastAsia="zh-CN"/>
        </w:rPr>
        <w:t xml:space="preserve"> after RAN1 #90bis</w:t>
      </w:r>
      <w:r w:rsidR="007D65F9">
        <w:rPr>
          <w:rFonts w:eastAsia="宋体"/>
          <w:lang w:eastAsia="zh-CN"/>
        </w:rPr>
        <w:t xml:space="preserve">. </w:t>
      </w:r>
    </w:p>
    <w:tbl>
      <w:tblPr>
        <w:tblStyle w:val="a8"/>
        <w:tblW w:w="0" w:type="auto"/>
        <w:tblLook w:val="04A0" w:firstRow="1" w:lastRow="0" w:firstColumn="1" w:lastColumn="0" w:noHBand="0" w:noVBand="1"/>
      </w:tblPr>
      <w:tblGrid>
        <w:gridCol w:w="9019"/>
      </w:tblGrid>
      <w:tr w:rsidR="00C17D4A" w14:paraId="7D65532B" w14:textId="77777777" w:rsidTr="00C17D4A">
        <w:tc>
          <w:tcPr>
            <w:tcW w:w="9019" w:type="dxa"/>
          </w:tcPr>
          <w:p w14:paraId="0B0BD05C" w14:textId="77777777" w:rsidR="00E2067C" w:rsidRPr="00C17D4A" w:rsidRDefault="00792D16" w:rsidP="00C17D4A">
            <w:pPr>
              <w:tabs>
                <w:tab w:val="num" w:pos="720"/>
              </w:tabs>
              <w:rPr>
                <w:sz w:val="20"/>
                <w:szCs w:val="20"/>
                <w:highlight w:val="green"/>
                <w:lang w:eastAsia="ja-JP"/>
              </w:rPr>
            </w:pPr>
            <w:r w:rsidRPr="00C17D4A">
              <w:rPr>
                <w:sz w:val="20"/>
                <w:szCs w:val="20"/>
                <w:highlight w:val="green"/>
                <w:lang w:eastAsia="ja-JP"/>
              </w:rPr>
              <w:t>Agreements:</w:t>
            </w:r>
          </w:p>
          <w:p w14:paraId="5F44FD63" w14:textId="77777777" w:rsidR="00E2067C" w:rsidRPr="00C17D4A" w:rsidRDefault="00792D16" w:rsidP="00C17D4A">
            <w:pPr>
              <w:pStyle w:val="a0"/>
              <w:numPr>
                <w:ilvl w:val="0"/>
                <w:numId w:val="20"/>
              </w:numPr>
              <w:rPr>
                <w:rFonts w:eastAsia="宋体"/>
                <w:lang w:eastAsia="zh-CN"/>
              </w:rPr>
            </w:pPr>
            <w:r w:rsidRPr="00C17D4A">
              <w:rPr>
                <w:rFonts w:eastAsia="宋体"/>
                <w:lang w:eastAsia="zh-CN"/>
              </w:rPr>
              <w:t xml:space="preserve">In Case 1, LTE TDD UL HARQ timing is supported and the UE is allowed to transmit only in the </w:t>
            </w:r>
            <w:proofErr w:type="spellStart"/>
            <w:r w:rsidRPr="00C17D4A">
              <w:rPr>
                <w:rFonts w:eastAsia="宋体"/>
                <w:lang w:eastAsia="zh-CN"/>
              </w:rPr>
              <w:t>subframes</w:t>
            </w:r>
            <w:proofErr w:type="spellEnd"/>
            <w:r w:rsidRPr="00C17D4A">
              <w:rPr>
                <w:rFonts w:eastAsia="宋体"/>
                <w:lang w:eastAsia="zh-CN"/>
              </w:rPr>
              <w:t xml:space="preserve"> designated as UL in the reference TDD configuration. Additionally, a UE-specific HARQ </w:t>
            </w:r>
            <w:proofErr w:type="spellStart"/>
            <w:r w:rsidRPr="00C17D4A">
              <w:rPr>
                <w:rFonts w:eastAsia="宋体"/>
                <w:lang w:eastAsia="zh-CN"/>
              </w:rPr>
              <w:t>subframe</w:t>
            </w:r>
            <w:proofErr w:type="spellEnd"/>
            <w:r w:rsidRPr="00C17D4A">
              <w:rPr>
                <w:rFonts w:eastAsia="宋体"/>
                <w:lang w:eastAsia="zh-CN"/>
              </w:rPr>
              <w:t xml:space="preserve"> offset can be configured. </w:t>
            </w:r>
          </w:p>
          <w:p w14:paraId="74B99FFE" w14:textId="77777777" w:rsidR="00E2067C" w:rsidRPr="00C17D4A" w:rsidRDefault="00792D16" w:rsidP="00C17D4A">
            <w:pPr>
              <w:pStyle w:val="a0"/>
              <w:numPr>
                <w:ilvl w:val="1"/>
                <w:numId w:val="20"/>
              </w:numPr>
              <w:rPr>
                <w:rFonts w:eastAsia="宋体"/>
                <w:lang w:eastAsia="zh-CN"/>
              </w:rPr>
            </w:pPr>
            <w:r w:rsidRPr="00C17D4A">
              <w:rPr>
                <w:rFonts w:eastAsia="宋体"/>
                <w:lang w:eastAsia="zh-CN"/>
              </w:rPr>
              <w:t>The offset (</w:t>
            </w:r>
            <w:proofErr w:type="spellStart"/>
            <w:r w:rsidRPr="00C17D4A">
              <w:rPr>
                <w:rFonts w:eastAsia="宋体"/>
                <w:lang w:eastAsia="zh-CN"/>
              </w:rPr>
              <w:t>HARQ_offset</w:t>
            </w:r>
            <w:proofErr w:type="spellEnd"/>
            <w:r w:rsidRPr="00C17D4A">
              <w:rPr>
                <w:rFonts w:eastAsia="宋体"/>
                <w:lang w:eastAsia="zh-CN"/>
              </w:rPr>
              <w:t>) is in the range [0…9]</w:t>
            </w:r>
          </w:p>
          <w:p w14:paraId="103BDC19" w14:textId="77777777" w:rsidR="00E2067C" w:rsidRPr="00C17D4A" w:rsidRDefault="00792D16" w:rsidP="00C17D4A">
            <w:pPr>
              <w:pStyle w:val="a0"/>
              <w:numPr>
                <w:ilvl w:val="1"/>
                <w:numId w:val="20"/>
              </w:numPr>
              <w:rPr>
                <w:rFonts w:eastAsia="宋体"/>
                <w:lang w:eastAsia="zh-CN"/>
              </w:rPr>
            </w:pPr>
            <w:r w:rsidRPr="00C17D4A">
              <w:rPr>
                <w:rFonts w:eastAsia="宋体"/>
                <w:lang w:eastAsia="zh-CN"/>
              </w:rPr>
              <w:lastRenderedPageBreak/>
              <w:t xml:space="preserve">The offset doesn’t change any </w:t>
            </w:r>
            <w:proofErr w:type="spellStart"/>
            <w:r w:rsidRPr="00C17D4A">
              <w:rPr>
                <w:rFonts w:eastAsia="宋体"/>
                <w:lang w:eastAsia="zh-CN"/>
              </w:rPr>
              <w:t>subframe</w:t>
            </w:r>
            <w:proofErr w:type="spellEnd"/>
            <w:r w:rsidRPr="00C17D4A">
              <w:rPr>
                <w:rFonts w:eastAsia="宋体"/>
                <w:lang w:eastAsia="zh-CN"/>
              </w:rPr>
              <w:t xml:space="preserve"> or slot number</w:t>
            </w:r>
          </w:p>
          <w:p w14:paraId="63775245" w14:textId="77777777" w:rsidR="00E2067C" w:rsidRPr="00C17D4A" w:rsidRDefault="00792D16" w:rsidP="00C17D4A">
            <w:pPr>
              <w:pStyle w:val="a0"/>
              <w:numPr>
                <w:ilvl w:val="1"/>
                <w:numId w:val="20"/>
              </w:numPr>
              <w:rPr>
                <w:rFonts w:eastAsia="宋体"/>
                <w:lang w:eastAsia="zh-CN"/>
              </w:rPr>
            </w:pPr>
            <w:r w:rsidRPr="00C17D4A">
              <w:rPr>
                <w:rFonts w:eastAsia="宋体"/>
                <w:lang w:eastAsia="zh-CN"/>
              </w:rPr>
              <w:t xml:space="preserve">If, before applying the offset, the HARQ feedback for DL SF number m was mapped to UL SF number n, then after the offset, the HARQ feedback for DL SF number (m + </w:t>
            </w:r>
            <w:proofErr w:type="spellStart"/>
            <w:r w:rsidRPr="00C17D4A">
              <w:rPr>
                <w:rFonts w:eastAsia="宋体"/>
                <w:lang w:eastAsia="zh-CN"/>
              </w:rPr>
              <w:t>HARQ_offset</w:t>
            </w:r>
            <w:proofErr w:type="spellEnd"/>
            <w:r w:rsidRPr="00C17D4A">
              <w:rPr>
                <w:rFonts w:eastAsia="宋体"/>
                <w:lang w:eastAsia="zh-CN"/>
              </w:rPr>
              <w:t xml:space="preserve">) is mapped to UL SF number (n + </w:t>
            </w:r>
            <w:proofErr w:type="spellStart"/>
            <w:r w:rsidRPr="00C17D4A">
              <w:rPr>
                <w:rFonts w:eastAsia="宋体"/>
                <w:lang w:eastAsia="zh-CN"/>
              </w:rPr>
              <w:t>HARQ_offset</w:t>
            </w:r>
            <w:proofErr w:type="spellEnd"/>
            <w:r w:rsidRPr="00C17D4A">
              <w:rPr>
                <w:rFonts w:eastAsia="宋体"/>
                <w:lang w:eastAsia="zh-CN"/>
              </w:rPr>
              <w:t>)</w:t>
            </w:r>
          </w:p>
          <w:p w14:paraId="739BFAD4" w14:textId="77777777" w:rsidR="00E2067C" w:rsidRPr="00C17D4A" w:rsidRDefault="00792D16" w:rsidP="00C17D4A">
            <w:pPr>
              <w:pStyle w:val="a0"/>
              <w:numPr>
                <w:ilvl w:val="1"/>
                <w:numId w:val="20"/>
              </w:numPr>
              <w:rPr>
                <w:rFonts w:eastAsia="宋体"/>
                <w:lang w:eastAsia="zh-CN"/>
              </w:rPr>
            </w:pPr>
            <w:r w:rsidRPr="00C17D4A">
              <w:rPr>
                <w:rFonts w:eastAsia="宋体"/>
                <w:lang w:eastAsia="zh-CN"/>
              </w:rPr>
              <w:t xml:space="preserve">If, before applying the offset, the PUSCH in SF number m was scheduled (by UL grant or PHICH) in SF number n, then after the offset, the PUSCH in SF number (m + </w:t>
            </w:r>
            <w:proofErr w:type="spellStart"/>
            <w:r w:rsidRPr="00C17D4A">
              <w:rPr>
                <w:rFonts w:eastAsia="宋体"/>
                <w:lang w:eastAsia="zh-CN"/>
              </w:rPr>
              <w:t>HARQ_offset</w:t>
            </w:r>
            <w:proofErr w:type="spellEnd"/>
            <w:r w:rsidRPr="00C17D4A">
              <w:rPr>
                <w:rFonts w:eastAsia="宋体"/>
                <w:lang w:eastAsia="zh-CN"/>
              </w:rPr>
              <w:t xml:space="preserve">) is scheduled (by UL grant or PHICH) in SF number (n + </w:t>
            </w:r>
            <w:proofErr w:type="spellStart"/>
            <w:r w:rsidRPr="00C17D4A">
              <w:rPr>
                <w:rFonts w:eastAsia="宋体"/>
                <w:lang w:eastAsia="zh-CN"/>
              </w:rPr>
              <w:t>HARQ_offset</w:t>
            </w:r>
            <w:proofErr w:type="spellEnd"/>
            <w:r w:rsidRPr="00C17D4A">
              <w:rPr>
                <w:rFonts w:eastAsia="宋体"/>
                <w:lang w:eastAsia="zh-CN"/>
              </w:rPr>
              <w:t>)</w:t>
            </w:r>
          </w:p>
          <w:p w14:paraId="41F28815" w14:textId="77777777" w:rsidR="00E2067C" w:rsidRPr="00C17D4A" w:rsidRDefault="00792D16" w:rsidP="00C17D4A">
            <w:pPr>
              <w:pStyle w:val="a0"/>
              <w:numPr>
                <w:ilvl w:val="1"/>
                <w:numId w:val="20"/>
              </w:numPr>
              <w:rPr>
                <w:rFonts w:eastAsia="宋体"/>
                <w:lang w:eastAsia="zh-CN"/>
              </w:rPr>
            </w:pPr>
            <w:r w:rsidRPr="00C17D4A">
              <w:rPr>
                <w:rFonts w:eastAsia="宋体"/>
                <w:lang w:eastAsia="zh-CN"/>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C17D4A">
              <w:rPr>
                <w:rFonts w:eastAsia="宋体"/>
                <w:lang w:eastAsia="zh-CN"/>
              </w:rPr>
              <w:t>HARQ_offset</w:t>
            </w:r>
            <w:proofErr w:type="spellEnd"/>
            <w:r w:rsidRPr="00C17D4A">
              <w:rPr>
                <w:rFonts w:eastAsia="宋体"/>
                <w:lang w:eastAsia="zh-CN"/>
              </w:rPr>
              <w:t xml:space="preserve">) is transmitted in SF number (n + </w:t>
            </w:r>
            <w:proofErr w:type="spellStart"/>
            <w:r w:rsidRPr="00C17D4A">
              <w:rPr>
                <w:rFonts w:eastAsia="宋体"/>
                <w:lang w:eastAsia="zh-CN"/>
              </w:rPr>
              <w:t>HARQ_offset</w:t>
            </w:r>
            <w:proofErr w:type="spellEnd"/>
            <w:r w:rsidRPr="00C17D4A">
              <w:rPr>
                <w:rFonts w:eastAsia="宋体"/>
                <w:lang w:eastAsia="zh-CN"/>
              </w:rPr>
              <w:t>)</w:t>
            </w:r>
          </w:p>
          <w:p w14:paraId="337A7EF5" w14:textId="11829AFB" w:rsidR="00C17D4A" w:rsidRPr="00C17D4A" w:rsidRDefault="00792D16" w:rsidP="003C6721">
            <w:pPr>
              <w:pStyle w:val="a0"/>
              <w:numPr>
                <w:ilvl w:val="1"/>
                <w:numId w:val="20"/>
              </w:numPr>
              <w:rPr>
                <w:rFonts w:eastAsia="宋体"/>
                <w:lang w:eastAsia="zh-CN"/>
              </w:rPr>
            </w:pPr>
            <w:r w:rsidRPr="00C17D4A">
              <w:rPr>
                <w:rFonts w:eastAsia="宋体"/>
                <w:lang w:eastAsia="zh-CN"/>
              </w:rPr>
              <w:t xml:space="preserve">SRS and PRACH transmission may only occur in </w:t>
            </w:r>
            <w:proofErr w:type="spellStart"/>
            <w:r w:rsidRPr="00C17D4A">
              <w:rPr>
                <w:rFonts w:eastAsia="宋体"/>
                <w:lang w:eastAsia="zh-CN"/>
              </w:rPr>
              <w:t>subframes</w:t>
            </w:r>
            <w:proofErr w:type="spellEnd"/>
            <w:r w:rsidRPr="00C17D4A">
              <w:rPr>
                <w:rFonts w:eastAsia="宋体"/>
                <w:lang w:eastAsia="zh-CN"/>
              </w:rPr>
              <w:t xml:space="preserve"> indicated as UL in the reference TDD configuration but shifted by the configured non-zero </w:t>
            </w:r>
            <w:proofErr w:type="spellStart"/>
            <w:r w:rsidRPr="00C17D4A">
              <w:rPr>
                <w:rFonts w:eastAsia="宋体"/>
                <w:lang w:eastAsia="zh-CN"/>
              </w:rPr>
              <w:t>HARQ_offset</w:t>
            </w:r>
            <w:proofErr w:type="spellEnd"/>
          </w:p>
        </w:tc>
      </w:tr>
    </w:tbl>
    <w:p w14:paraId="01723EF4" w14:textId="77777777" w:rsidR="00C17D4A" w:rsidRDefault="00C17D4A" w:rsidP="003C6721">
      <w:pPr>
        <w:pStyle w:val="a0"/>
        <w:rPr>
          <w:rFonts w:eastAsia="宋体"/>
          <w:lang w:eastAsia="zh-CN"/>
        </w:rPr>
      </w:pPr>
    </w:p>
    <w:p w14:paraId="41C08DC0" w14:textId="1D75809F" w:rsidR="007D65F9" w:rsidRDefault="007D65F9" w:rsidP="007D65F9">
      <w:pPr>
        <w:pStyle w:val="a0"/>
        <w:rPr>
          <w:rFonts w:eastAsia="宋体"/>
          <w:lang w:eastAsia="zh-CN"/>
        </w:rPr>
      </w:pPr>
      <w:r>
        <w:rPr>
          <w:rFonts w:eastAsia="宋体" w:hint="eastAsia"/>
          <w:lang w:eastAsia="zh-CN"/>
        </w:rPr>
        <w:t xml:space="preserve">For </w:t>
      </w:r>
      <w:r w:rsidRPr="00C17D4A">
        <w:rPr>
          <w:rFonts w:eastAsia="宋体"/>
          <w:lang w:val="en-GB" w:eastAsia="zh-CN"/>
        </w:rPr>
        <w:t xml:space="preserve">PRACH </w:t>
      </w:r>
      <w:r>
        <w:rPr>
          <w:rFonts w:eastAsia="宋体" w:hint="eastAsia"/>
          <w:lang w:eastAsia="zh-CN"/>
        </w:rPr>
        <w:t xml:space="preserve">and SRS </w:t>
      </w:r>
      <w:r>
        <w:rPr>
          <w:rFonts w:eastAsia="宋体"/>
          <w:lang w:eastAsia="zh-CN"/>
        </w:rPr>
        <w:t>transmission in LTE carrier, the following agreements are reached</w:t>
      </w:r>
      <w:r w:rsidR="002877BC">
        <w:rPr>
          <w:rFonts w:eastAsia="宋体"/>
          <w:lang w:eastAsia="zh-CN"/>
        </w:rPr>
        <w:t xml:space="preserve"> in</w:t>
      </w:r>
      <w:r>
        <w:rPr>
          <w:rFonts w:eastAsia="宋体"/>
          <w:lang w:eastAsia="zh-CN"/>
        </w:rPr>
        <w:t xml:space="preserve"> </w:t>
      </w:r>
      <w:r w:rsidR="002877BC">
        <w:rPr>
          <w:rFonts w:eastAsia="宋体"/>
          <w:lang w:eastAsia="zh-CN"/>
        </w:rPr>
        <w:t xml:space="preserve">RAN1 #90bis </w:t>
      </w:r>
      <w:r>
        <w:rPr>
          <w:rFonts w:eastAsia="宋体"/>
          <w:lang w:eastAsia="zh-CN"/>
        </w:rPr>
        <w:t>[3].</w:t>
      </w:r>
    </w:p>
    <w:tbl>
      <w:tblPr>
        <w:tblStyle w:val="a8"/>
        <w:tblW w:w="0" w:type="auto"/>
        <w:tblLook w:val="04A0" w:firstRow="1" w:lastRow="0" w:firstColumn="1" w:lastColumn="0" w:noHBand="0" w:noVBand="1"/>
      </w:tblPr>
      <w:tblGrid>
        <w:gridCol w:w="9019"/>
      </w:tblGrid>
      <w:tr w:rsidR="007D65F9" w14:paraId="35F0A5A1" w14:textId="77777777" w:rsidTr="00067520">
        <w:tc>
          <w:tcPr>
            <w:tcW w:w="9019" w:type="dxa"/>
          </w:tcPr>
          <w:p w14:paraId="130AD54C" w14:textId="77777777" w:rsidR="007D65F9" w:rsidRPr="00C17D4A" w:rsidRDefault="007D65F9" w:rsidP="00067520">
            <w:pPr>
              <w:tabs>
                <w:tab w:val="num" w:pos="720"/>
              </w:tabs>
              <w:rPr>
                <w:sz w:val="20"/>
                <w:szCs w:val="20"/>
                <w:highlight w:val="green"/>
                <w:lang w:eastAsia="ja-JP"/>
              </w:rPr>
            </w:pPr>
            <w:r w:rsidRPr="00C17D4A">
              <w:rPr>
                <w:sz w:val="20"/>
                <w:szCs w:val="20"/>
                <w:highlight w:val="green"/>
                <w:lang w:eastAsia="ja-JP"/>
              </w:rPr>
              <w:t xml:space="preserve">Agreement: </w:t>
            </w:r>
          </w:p>
          <w:p w14:paraId="21A57038" w14:textId="77777777" w:rsidR="007D65F9" w:rsidRPr="00C17D4A" w:rsidRDefault="007D65F9" w:rsidP="00067520">
            <w:pPr>
              <w:pStyle w:val="a0"/>
              <w:numPr>
                <w:ilvl w:val="0"/>
                <w:numId w:val="19"/>
              </w:numPr>
              <w:rPr>
                <w:rFonts w:eastAsia="宋体"/>
                <w:lang w:eastAsia="zh-CN"/>
              </w:rPr>
            </w:pPr>
            <w:r w:rsidRPr="00C17D4A">
              <w:rPr>
                <w:rFonts w:eastAsia="宋体"/>
                <w:lang w:val="en-GB" w:eastAsia="zh-CN"/>
              </w:rPr>
              <w:t>For Case 1, FDD timing configuration (i.e., periodicity and offset) is applied to LTE PRACH and SRS on LTE UL carriers.</w:t>
            </w:r>
          </w:p>
          <w:p w14:paraId="62CEE33E" w14:textId="77777777" w:rsidR="007D65F9" w:rsidRPr="00C17D4A" w:rsidRDefault="007D65F9" w:rsidP="00067520">
            <w:pPr>
              <w:pStyle w:val="a0"/>
              <w:numPr>
                <w:ilvl w:val="0"/>
                <w:numId w:val="19"/>
              </w:numPr>
              <w:rPr>
                <w:rFonts w:eastAsia="宋体"/>
                <w:lang w:eastAsia="zh-CN"/>
              </w:rPr>
            </w:pPr>
            <w:r w:rsidRPr="00C17D4A">
              <w:rPr>
                <w:rFonts w:eastAsia="宋体"/>
                <w:lang w:val="en-GB" w:eastAsia="zh-CN"/>
              </w:rPr>
              <w:t>The UE is not required to support transmission of LTE PRACH or SRS transmission which does not coincide with the configured HARQ-ACK transmission occasions</w:t>
            </w:r>
          </w:p>
        </w:tc>
      </w:tr>
    </w:tbl>
    <w:p w14:paraId="7E669DCC" w14:textId="77777777" w:rsidR="007D65F9" w:rsidRPr="007D65F9" w:rsidRDefault="007D65F9" w:rsidP="003C6721">
      <w:pPr>
        <w:pStyle w:val="a0"/>
        <w:rPr>
          <w:rFonts w:eastAsia="宋体"/>
          <w:lang w:eastAsia="zh-CN"/>
        </w:rPr>
      </w:pPr>
    </w:p>
    <w:p w14:paraId="1D031901" w14:textId="01F5E204" w:rsidR="00022B39" w:rsidRDefault="00CD000D" w:rsidP="003C6721">
      <w:pPr>
        <w:pStyle w:val="a0"/>
        <w:rPr>
          <w:rFonts w:eastAsia="宋体"/>
          <w:lang w:eastAsia="zh-CN"/>
        </w:rPr>
      </w:pPr>
      <w:r>
        <w:rPr>
          <w:rFonts w:eastAsia="宋体" w:hint="eastAsia"/>
          <w:lang w:eastAsia="zh-CN"/>
        </w:rPr>
        <w:t xml:space="preserve">In this contribution, </w:t>
      </w:r>
      <w:r w:rsidR="00461EF3">
        <w:rPr>
          <w:rFonts w:eastAsia="宋体"/>
          <w:lang w:eastAsia="zh-CN"/>
        </w:rPr>
        <w:t xml:space="preserve">the remaining issues for </w:t>
      </w:r>
      <w:r w:rsidR="003A1263">
        <w:rPr>
          <w:rFonts w:cs="Arial"/>
        </w:rPr>
        <w:t xml:space="preserve"> harmonics </w:t>
      </w:r>
      <w:r w:rsidR="00461EF3" w:rsidRPr="00840234">
        <w:rPr>
          <w:rFonts w:cs="Arial"/>
        </w:rPr>
        <w:t>interference handling</w:t>
      </w:r>
      <w:r w:rsidR="00461EF3">
        <w:rPr>
          <w:rFonts w:eastAsia="宋体"/>
          <w:lang w:eastAsia="zh-CN"/>
        </w:rPr>
        <w:t xml:space="preserve"> including the HARQ timing, </w:t>
      </w:r>
      <w:r w:rsidR="007D65F9" w:rsidRPr="00C17D4A">
        <w:rPr>
          <w:rFonts w:eastAsia="宋体"/>
          <w:lang w:eastAsia="zh-CN"/>
        </w:rPr>
        <w:t xml:space="preserve">UE-specific HARQ </w:t>
      </w:r>
      <w:proofErr w:type="spellStart"/>
      <w:r w:rsidR="007D65F9" w:rsidRPr="00C17D4A">
        <w:rPr>
          <w:rFonts w:eastAsia="宋体"/>
          <w:lang w:eastAsia="zh-CN"/>
        </w:rPr>
        <w:t>subframe</w:t>
      </w:r>
      <w:proofErr w:type="spellEnd"/>
      <w:r w:rsidR="007D65F9" w:rsidRPr="00C17D4A">
        <w:rPr>
          <w:rFonts w:eastAsia="宋体"/>
          <w:lang w:eastAsia="zh-CN"/>
        </w:rPr>
        <w:t xml:space="preserve"> offset</w:t>
      </w:r>
      <w:r w:rsidR="007D65F9">
        <w:rPr>
          <w:rFonts w:eastAsia="宋体"/>
          <w:lang w:eastAsia="zh-CN"/>
        </w:rPr>
        <w:t xml:space="preserve"> and PRACH/SRS transmission are </w:t>
      </w:r>
      <w:r w:rsidR="00461EF3">
        <w:rPr>
          <w:rFonts w:eastAsia="宋体"/>
          <w:lang w:eastAsia="zh-CN"/>
        </w:rPr>
        <w:t>discussed and proposals are given</w:t>
      </w:r>
      <w:r w:rsidR="00022B39">
        <w:rPr>
          <w:rFonts w:eastAsia="宋体" w:hint="eastAsia"/>
          <w:lang w:eastAsia="zh-CN"/>
        </w:rPr>
        <w:t>.</w:t>
      </w:r>
      <w:r w:rsidR="00AA281E">
        <w:rPr>
          <w:rFonts w:eastAsia="宋体"/>
          <w:lang w:eastAsia="zh-CN"/>
        </w:rPr>
        <w:t xml:space="preserve"> </w:t>
      </w:r>
    </w:p>
    <w:p w14:paraId="2284EBC2" w14:textId="57484D35" w:rsidR="0086688B" w:rsidRPr="00E94D95" w:rsidRDefault="00E94D95" w:rsidP="001B13B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94D95">
        <w:rPr>
          <w:rFonts w:ascii="Arial" w:eastAsia="宋体" w:hAnsi="Arial" w:cs="Times New Roman"/>
          <w:b w:val="0"/>
          <w:bCs w:val="0"/>
          <w:kern w:val="0"/>
          <w:sz w:val="36"/>
          <w:szCs w:val="20"/>
          <w:lang w:val="fr-FR" w:eastAsia="zh-CN"/>
        </w:rPr>
        <w:t>Remaining issues on</w:t>
      </w:r>
      <w:r w:rsidR="00213120">
        <w:rPr>
          <w:rFonts w:ascii="Arial" w:eastAsia="宋体" w:hAnsi="Arial" w:cs="Times New Roman" w:hint="eastAsia"/>
          <w:b w:val="0"/>
          <w:bCs w:val="0"/>
          <w:kern w:val="0"/>
          <w:sz w:val="36"/>
          <w:szCs w:val="20"/>
          <w:lang w:val="fr-FR" w:eastAsia="zh-CN"/>
        </w:rPr>
        <w:t xml:space="preserve"> harmonic</w:t>
      </w:r>
      <w:r w:rsidR="001B13BD">
        <w:rPr>
          <w:rFonts w:ascii="Arial" w:eastAsia="宋体" w:hAnsi="Arial" w:cs="Times New Roman"/>
          <w:b w:val="0"/>
          <w:bCs w:val="0"/>
          <w:kern w:val="0"/>
          <w:sz w:val="36"/>
          <w:szCs w:val="20"/>
          <w:lang w:val="fr-FR" w:eastAsia="zh-CN"/>
        </w:rPr>
        <w:t xml:space="preserve"> </w:t>
      </w:r>
      <w:r w:rsidR="001B13BD" w:rsidRPr="001B13BD">
        <w:rPr>
          <w:rFonts w:ascii="Arial" w:eastAsia="宋体" w:hAnsi="Arial" w:cs="Times New Roman"/>
          <w:b w:val="0"/>
          <w:bCs w:val="0"/>
          <w:kern w:val="0"/>
          <w:sz w:val="36"/>
          <w:szCs w:val="20"/>
          <w:lang w:val="fr-FR" w:eastAsia="zh-CN"/>
        </w:rPr>
        <w:t>interference handling</w:t>
      </w:r>
    </w:p>
    <w:p w14:paraId="7403F920" w14:textId="2C5354B0" w:rsidR="00F2417A" w:rsidRPr="004C2B35" w:rsidRDefault="004C2B35" w:rsidP="004C2B35">
      <w:pPr>
        <w:pStyle w:val="a0"/>
        <w:rPr>
          <w:rFonts w:eastAsia="宋体"/>
          <w:lang w:eastAsia="zh-CN"/>
        </w:rPr>
      </w:pPr>
      <w:r>
        <w:rPr>
          <w:rFonts w:eastAsia="宋体" w:hint="eastAsia"/>
          <w:lang w:eastAsia="zh-CN"/>
        </w:rPr>
        <w:t xml:space="preserve">For </w:t>
      </w:r>
      <w:r>
        <w:rPr>
          <w:rFonts w:eastAsia="宋体"/>
          <w:lang w:eastAsia="zh-CN"/>
        </w:rPr>
        <w:t xml:space="preserve">single uplink transmission, LTE UL and NR UL should be time switched and cannot be concurrently transmitted. For </w:t>
      </w:r>
      <w:r w:rsidRPr="004C2B35">
        <w:rPr>
          <w:rFonts w:eastAsia="宋体"/>
          <w:lang w:eastAsia="zh-CN"/>
        </w:rPr>
        <w:t>time-domain based network scheduling solution in case of harmonic interference from UL to DL</w:t>
      </w:r>
      <w:r>
        <w:rPr>
          <w:rFonts w:eastAsia="宋体"/>
          <w:lang w:eastAsia="zh-CN"/>
        </w:rPr>
        <w:t xml:space="preserve">, LTE UL and NR DL should be time switched and cannot be concurrently transmitted. So the main difference is that for single uplink transmission, it is the NR UL while for harmonic, it is the NR DL, which cannot be simultaneously transmitted with LTE UL. Thus a similar principle </w:t>
      </w:r>
      <w:r w:rsidR="001B13BD">
        <w:rPr>
          <w:rFonts w:eastAsia="宋体"/>
          <w:lang w:eastAsia="zh-CN"/>
        </w:rPr>
        <w:t>or</w:t>
      </w:r>
      <w:r>
        <w:rPr>
          <w:rFonts w:eastAsia="宋体"/>
          <w:lang w:eastAsia="zh-CN"/>
        </w:rPr>
        <w:t xml:space="preserve"> mechanism for HARQ timing, </w:t>
      </w:r>
      <w:r w:rsidRPr="00C17D4A">
        <w:rPr>
          <w:rFonts w:eastAsia="宋体"/>
          <w:lang w:eastAsia="zh-CN"/>
        </w:rPr>
        <w:t xml:space="preserve">UE-specific HARQ </w:t>
      </w:r>
      <w:proofErr w:type="spellStart"/>
      <w:r w:rsidRPr="00C17D4A">
        <w:rPr>
          <w:rFonts w:eastAsia="宋体"/>
          <w:lang w:eastAsia="zh-CN"/>
        </w:rPr>
        <w:t>subframe</w:t>
      </w:r>
      <w:proofErr w:type="spellEnd"/>
      <w:r w:rsidRPr="00C17D4A">
        <w:rPr>
          <w:rFonts w:eastAsia="宋体"/>
          <w:lang w:eastAsia="zh-CN"/>
        </w:rPr>
        <w:t xml:space="preserve"> offset</w:t>
      </w:r>
      <w:r>
        <w:rPr>
          <w:rFonts w:eastAsia="宋体"/>
          <w:lang w:eastAsia="zh-CN"/>
        </w:rPr>
        <w:t xml:space="preserve"> and PRACH/SRS transmission </w:t>
      </w:r>
      <w:r w:rsidR="001B13BD">
        <w:rPr>
          <w:rFonts w:eastAsia="宋体"/>
          <w:lang w:eastAsia="zh-CN"/>
        </w:rPr>
        <w:t xml:space="preserve">for LTE carrier </w:t>
      </w:r>
      <w:r>
        <w:rPr>
          <w:rFonts w:eastAsia="宋体"/>
          <w:lang w:eastAsia="zh-CN"/>
        </w:rPr>
        <w:t xml:space="preserve">can be shared between single uplink and harmonic </w:t>
      </w:r>
      <w:r w:rsidR="001B13BD">
        <w:rPr>
          <w:rFonts w:eastAsia="宋体"/>
          <w:lang w:eastAsia="zh-CN"/>
        </w:rPr>
        <w:t xml:space="preserve">interference </w:t>
      </w:r>
      <w:r>
        <w:rPr>
          <w:rFonts w:eastAsia="宋体"/>
          <w:lang w:eastAsia="zh-CN"/>
        </w:rPr>
        <w:t>handling.</w:t>
      </w:r>
    </w:p>
    <w:p w14:paraId="47C4D27C" w14:textId="1527EE19" w:rsidR="00412C79" w:rsidRPr="00B9726E" w:rsidRDefault="00F57249" w:rsidP="00412C79">
      <w:pPr>
        <w:pStyle w:val="a0"/>
        <w:rPr>
          <w:rFonts w:eastAsiaTheme="minorEastAsia"/>
          <w:color w:val="000000"/>
          <w:lang w:eastAsia="zh-CN"/>
        </w:rPr>
      </w:pPr>
      <w:r>
        <w:rPr>
          <w:rFonts w:eastAsiaTheme="minorEastAsia" w:hint="eastAsia"/>
          <w:color w:val="000000"/>
          <w:lang w:eastAsia="zh-CN"/>
        </w:rPr>
        <w:t>In</w:t>
      </w:r>
      <w:r>
        <w:rPr>
          <w:color w:val="000000"/>
        </w:rPr>
        <w:t xml:space="preserve"> </w:t>
      </w:r>
      <w:r>
        <w:rPr>
          <w:rFonts w:eastAsiaTheme="minorEastAsia" w:hint="eastAsia"/>
          <w:color w:val="000000"/>
          <w:lang w:eastAsia="zh-CN"/>
        </w:rPr>
        <w:t xml:space="preserve">TDM based </w:t>
      </w:r>
      <w:r w:rsidR="007E4D5F">
        <w:rPr>
          <w:color w:val="000000"/>
        </w:rPr>
        <w:t xml:space="preserve">harmonics interference </w:t>
      </w:r>
      <w:r>
        <w:rPr>
          <w:rFonts w:eastAsiaTheme="minorEastAsia" w:hint="eastAsia"/>
          <w:color w:val="000000"/>
          <w:lang w:eastAsia="zh-CN"/>
        </w:rPr>
        <w:t xml:space="preserve">handling </w:t>
      </w:r>
      <w:r w:rsidR="007E4D5F">
        <w:rPr>
          <w:color w:val="000000"/>
        </w:rPr>
        <w:t>in</w:t>
      </w:r>
      <w:r w:rsidR="00412C79">
        <w:rPr>
          <w:color w:val="000000"/>
        </w:rPr>
        <w:t xml:space="preserve"> EN-DC, </w:t>
      </w:r>
      <w:r>
        <w:rPr>
          <w:rFonts w:eastAsiaTheme="minorEastAsia" w:hint="eastAsia"/>
          <w:color w:val="000000"/>
          <w:lang w:eastAsia="zh-CN"/>
        </w:rPr>
        <w:t xml:space="preserve">only a subset of LTE UL </w:t>
      </w:r>
      <w:proofErr w:type="spellStart"/>
      <w:r>
        <w:rPr>
          <w:rFonts w:eastAsiaTheme="minorEastAsia" w:hint="eastAsia"/>
          <w:color w:val="000000"/>
          <w:lang w:eastAsia="zh-CN"/>
        </w:rPr>
        <w:t>subframes</w:t>
      </w:r>
      <w:proofErr w:type="spellEnd"/>
      <w:r>
        <w:rPr>
          <w:rFonts w:eastAsiaTheme="minorEastAsia" w:hint="eastAsia"/>
          <w:color w:val="000000"/>
          <w:lang w:eastAsia="zh-CN"/>
        </w:rPr>
        <w:t xml:space="preserve"> can be scheduled for the UE, while the full LTE DL </w:t>
      </w:r>
      <w:proofErr w:type="spellStart"/>
      <w:r>
        <w:rPr>
          <w:rFonts w:eastAsiaTheme="minorEastAsia" w:hint="eastAsia"/>
          <w:color w:val="000000"/>
          <w:lang w:eastAsia="zh-CN"/>
        </w:rPr>
        <w:t>subframes</w:t>
      </w:r>
      <w:proofErr w:type="spellEnd"/>
      <w:r>
        <w:rPr>
          <w:rFonts w:eastAsiaTheme="minorEastAsia" w:hint="eastAsia"/>
          <w:color w:val="000000"/>
          <w:lang w:eastAsia="zh-CN"/>
        </w:rPr>
        <w:t xml:space="preserve"> are </w:t>
      </w:r>
      <w:r>
        <w:rPr>
          <w:rFonts w:eastAsiaTheme="minorEastAsia"/>
          <w:color w:val="000000"/>
          <w:lang w:eastAsia="zh-CN"/>
        </w:rPr>
        <w:t>available</w:t>
      </w:r>
      <w:r>
        <w:rPr>
          <w:rFonts w:eastAsiaTheme="minorEastAsia" w:hint="eastAsia"/>
          <w:color w:val="000000"/>
          <w:lang w:eastAsia="zh-CN"/>
        </w:rPr>
        <w:t xml:space="preserve"> for the UE. </w:t>
      </w:r>
      <w:r w:rsidR="00365B88">
        <w:rPr>
          <w:rFonts w:eastAsiaTheme="minorEastAsia" w:hint="eastAsia"/>
          <w:color w:val="000000"/>
          <w:lang w:eastAsia="zh-CN"/>
        </w:rPr>
        <w:t xml:space="preserve">However, using existing LTE FDD DL HARQ timing would reduce the number of schedulable DL </w:t>
      </w:r>
      <w:proofErr w:type="spellStart"/>
      <w:r w:rsidR="00365B88">
        <w:rPr>
          <w:rFonts w:eastAsiaTheme="minorEastAsia" w:hint="eastAsia"/>
          <w:color w:val="000000"/>
          <w:lang w:eastAsia="zh-CN"/>
        </w:rPr>
        <w:t>subframes</w:t>
      </w:r>
      <w:proofErr w:type="spellEnd"/>
      <w:r w:rsidR="00365B88">
        <w:rPr>
          <w:rFonts w:eastAsiaTheme="minorEastAsia" w:hint="eastAsia"/>
          <w:color w:val="000000"/>
          <w:lang w:eastAsia="zh-CN"/>
        </w:rPr>
        <w:t xml:space="preserve"> thus limit the LTE DL throughput unnecessarily. </w:t>
      </w:r>
      <w:r w:rsidR="00AD1AE4">
        <w:rPr>
          <w:rFonts w:eastAsiaTheme="minorEastAsia" w:hint="eastAsia"/>
          <w:color w:val="000000"/>
          <w:lang w:eastAsia="zh-CN"/>
        </w:rPr>
        <w:t xml:space="preserve">Therefore, it is necessary </w:t>
      </w:r>
      <w:r w:rsidR="001B13BD">
        <w:rPr>
          <w:rFonts w:eastAsiaTheme="minorEastAsia"/>
          <w:color w:val="000000"/>
          <w:lang w:eastAsia="zh-CN"/>
        </w:rPr>
        <w:t>that</w:t>
      </w:r>
      <w:r w:rsidR="00AD1AE4">
        <w:rPr>
          <w:rFonts w:eastAsiaTheme="minorEastAsia" w:hint="eastAsia"/>
          <w:color w:val="000000"/>
          <w:lang w:eastAsia="zh-CN"/>
        </w:rPr>
        <w:t xml:space="preserve"> the </w:t>
      </w:r>
      <w:r w:rsidR="00FD1952">
        <w:rPr>
          <w:rFonts w:eastAsiaTheme="minorEastAsia" w:hint="eastAsia"/>
          <w:color w:val="000000"/>
          <w:lang w:eastAsia="zh-CN"/>
        </w:rPr>
        <w:t xml:space="preserve">HARQ timing design and signaling agreed for single UL </w:t>
      </w:r>
      <w:proofErr w:type="spellStart"/>
      <w:proofErr w:type="gramStart"/>
      <w:r w:rsidR="00FD1952">
        <w:rPr>
          <w:rFonts w:eastAsiaTheme="minorEastAsia" w:hint="eastAsia"/>
          <w:color w:val="000000"/>
          <w:lang w:eastAsia="zh-CN"/>
        </w:rPr>
        <w:t>Tx</w:t>
      </w:r>
      <w:proofErr w:type="spellEnd"/>
      <w:proofErr w:type="gramEnd"/>
      <w:r w:rsidR="00FD1952">
        <w:rPr>
          <w:rFonts w:eastAsiaTheme="minorEastAsia" w:hint="eastAsia"/>
          <w:color w:val="000000"/>
          <w:lang w:eastAsia="zh-CN"/>
        </w:rPr>
        <w:t xml:space="preserve"> operation can be reused</w:t>
      </w:r>
      <w:r w:rsidR="001B13BD">
        <w:rPr>
          <w:rFonts w:eastAsiaTheme="minorEastAsia"/>
          <w:color w:val="000000"/>
          <w:lang w:eastAsia="zh-CN"/>
        </w:rPr>
        <w:t xml:space="preserve"> for </w:t>
      </w:r>
      <w:r w:rsidR="007D4BE3">
        <w:rPr>
          <w:rFonts w:eastAsiaTheme="minorEastAsia" w:hint="eastAsia"/>
          <w:color w:val="000000"/>
          <w:lang w:eastAsia="zh-CN"/>
        </w:rPr>
        <w:t xml:space="preserve">TDM based </w:t>
      </w:r>
      <w:r w:rsidR="001B13BD">
        <w:rPr>
          <w:rFonts w:eastAsiaTheme="minorEastAsia"/>
          <w:color w:val="000000"/>
          <w:lang w:eastAsia="zh-CN"/>
        </w:rPr>
        <w:t xml:space="preserve">harmonic </w:t>
      </w:r>
      <w:r w:rsidR="001B13BD">
        <w:rPr>
          <w:rFonts w:eastAsia="宋体"/>
          <w:lang w:eastAsia="zh-CN"/>
        </w:rPr>
        <w:t>interference handling</w:t>
      </w:r>
      <w:r w:rsidR="00FD1952">
        <w:rPr>
          <w:rFonts w:eastAsiaTheme="minorEastAsia" w:hint="eastAsia"/>
          <w:color w:val="000000"/>
          <w:lang w:eastAsia="zh-CN"/>
        </w:rPr>
        <w:t xml:space="preserve">. </w:t>
      </w:r>
    </w:p>
    <w:p w14:paraId="61C7360A" w14:textId="5E1C2DFB" w:rsidR="00C637A5" w:rsidRDefault="00A60B89">
      <w:pPr>
        <w:pStyle w:val="a0"/>
        <w:rPr>
          <w:rFonts w:eastAsia="宋体"/>
          <w:b/>
          <w:i/>
          <w:lang w:val="en-GB" w:eastAsia="zh-CN"/>
        </w:rPr>
      </w:pPr>
      <w:r w:rsidRPr="00C637A5">
        <w:rPr>
          <w:rFonts w:eastAsia="宋体"/>
          <w:b/>
          <w:i/>
          <w:lang w:val="en-GB" w:eastAsia="zh-CN"/>
        </w:rPr>
        <w:t xml:space="preserve">Proposal 1: </w:t>
      </w:r>
    </w:p>
    <w:p w14:paraId="2B21E65B" w14:textId="1F38CC20" w:rsidR="00920E00" w:rsidRPr="00920E00" w:rsidRDefault="00367FB1" w:rsidP="00920E00">
      <w:pPr>
        <w:pStyle w:val="a0"/>
        <w:rPr>
          <w:rFonts w:eastAsia="宋体"/>
          <w:b/>
          <w:i/>
          <w:lang w:eastAsia="zh-CN"/>
        </w:rPr>
      </w:pPr>
      <w:r>
        <w:rPr>
          <w:rFonts w:eastAsia="宋体" w:hint="eastAsia"/>
          <w:b/>
          <w:i/>
          <w:lang w:eastAsia="zh-CN"/>
        </w:rPr>
        <w:t xml:space="preserve">Following scheduling/HARQ timing </w:t>
      </w:r>
      <w:r>
        <w:rPr>
          <w:rFonts w:eastAsia="宋体"/>
          <w:b/>
          <w:i/>
          <w:lang w:eastAsia="zh-CN"/>
        </w:rPr>
        <w:t>configuration</w:t>
      </w:r>
      <w:r>
        <w:rPr>
          <w:rFonts w:eastAsia="宋体" w:hint="eastAsia"/>
          <w:b/>
          <w:i/>
          <w:lang w:eastAsia="zh-CN"/>
        </w:rPr>
        <w:t xml:space="preserve"> </w:t>
      </w:r>
      <w:r w:rsidR="00BD2DB7">
        <w:rPr>
          <w:rFonts w:eastAsia="宋体" w:hint="eastAsia"/>
          <w:b/>
          <w:i/>
          <w:lang w:eastAsia="zh-CN"/>
        </w:rPr>
        <w:t xml:space="preserve">for single UL </w:t>
      </w:r>
      <w:proofErr w:type="spellStart"/>
      <w:proofErr w:type="gramStart"/>
      <w:r w:rsidR="00BD2DB7">
        <w:rPr>
          <w:rFonts w:eastAsia="宋体" w:hint="eastAsia"/>
          <w:b/>
          <w:i/>
          <w:lang w:eastAsia="zh-CN"/>
        </w:rPr>
        <w:t>Tx</w:t>
      </w:r>
      <w:proofErr w:type="spellEnd"/>
      <w:proofErr w:type="gramEnd"/>
      <w:r w:rsidR="00BD2DB7">
        <w:rPr>
          <w:rFonts w:eastAsia="宋体" w:hint="eastAsia"/>
          <w:b/>
          <w:i/>
          <w:lang w:eastAsia="zh-CN"/>
        </w:rPr>
        <w:t xml:space="preserve"> is reused for TDM based harmonic interference handling</w:t>
      </w:r>
      <w:r w:rsidR="0045723A">
        <w:rPr>
          <w:rFonts w:eastAsia="宋体" w:hint="eastAsia"/>
          <w:b/>
          <w:i/>
          <w:lang w:eastAsia="zh-CN"/>
        </w:rPr>
        <w:t>.</w:t>
      </w:r>
    </w:p>
    <w:p w14:paraId="4E8EEB94" w14:textId="77777777" w:rsidR="00920E00" w:rsidRPr="00920E00" w:rsidRDefault="00920E00" w:rsidP="00367FB1">
      <w:pPr>
        <w:numPr>
          <w:ilvl w:val="0"/>
          <w:numId w:val="12"/>
        </w:numPr>
        <w:tabs>
          <w:tab w:val="clear" w:pos="720"/>
          <w:tab w:val="num" w:pos="960"/>
          <w:tab w:val="left" w:pos="1440"/>
        </w:tabs>
        <w:ind w:leftChars="100" w:left="600" w:rightChars="100" w:right="240"/>
        <w:jc w:val="both"/>
        <w:rPr>
          <w:rFonts w:eastAsia="MS Mincho"/>
          <w:b/>
          <w:i/>
          <w:sz w:val="20"/>
          <w:szCs w:val="20"/>
          <w:lang w:eastAsia="ja-JP"/>
        </w:rPr>
      </w:pPr>
      <w:r w:rsidRPr="00920E00">
        <w:rPr>
          <w:rFonts w:eastAsia="MS Mincho"/>
          <w:b/>
          <w:i/>
          <w:sz w:val="20"/>
          <w:szCs w:val="20"/>
          <w:lang w:eastAsia="ja-JP"/>
        </w:rPr>
        <w:t xml:space="preserve">For LTE carrier, UE can be configured with </w:t>
      </w:r>
    </w:p>
    <w:p w14:paraId="5BF06149" w14:textId="77777777" w:rsidR="00920E00" w:rsidRPr="00920E00" w:rsidRDefault="00920E00" w:rsidP="00367FB1">
      <w:pPr>
        <w:numPr>
          <w:ilvl w:val="1"/>
          <w:numId w:val="12"/>
        </w:numPr>
        <w:ind w:rightChars="100" w:right="240"/>
        <w:jc w:val="both"/>
        <w:rPr>
          <w:rFonts w:eastAsia="MS Mincho"/>
          <w:b/>
          <w:i/>
          <w:sz w:val="20"/>
          <w:szCs w:val="20"/>
          <w:lang w:eastAsia="ja-JP"/>
        </w:rPr>
      </w:pPr>
      <w:r w:rsidRPr="00920E00">
        <w:rPr>
          <w:rFonts w:eastAsia="MS Mincho"/>
          <w:b/>
          <w:i/>
          <w:sz w:val="20"/>
          <w:szCs w:val="20"/>
          <w:lang w:eastAsia="ja-JP"/>
        </w:rPr>
        <w:t>Case 1: DL-reference UL/DL configuration defined for LTE-FDD-</w:t>
      </w:r>
      <w:proofErr w:type="spellStart"/>
      <w:r w:rsidRPr="00920E00">
        <w:rPr>
          <w:rFonts w:eastAsia="MS Mincho"/>
          <w:b/>
          <w:i/>
          <w:sz w:val="20"/>
          <w:szCs w:val="20"/>
          <w:lang w:eastAsia="ja-JP"/>
        </w:rPr>
        <w:t>SCell</w:t>
      </w:r>
      <w:proofErr w:type="spellEnd"/>
      <w:r w:rsidRPr="00920E00">
        <w:rPr>
          <w:rFonts w:eastAsia="MS Mincho"/>
          <w:b/>
          <w:i/>
          <w:sz w:val="20"/>
          <w:szCs w:val="20"/>
          <w:lang w:eastAsia="ja-JP"/>
        </w:rPr>
        <w:t xml:space="preserve"> in LTE-TDD-FDD CA with LTE-TDD-</w:t>
      </w:r>
      <w:proofErr w:type="spellStart"/>
      <w:r w:rsidRPr="00920E00">
        <w:rPr>
          <w:rFonts w:eastAsia="MS Mincho"/>
          <w:b/>
          <w:i/>
          <w:sz w:val="20"/>
          <w:szCs w:val="20"/>
          <w:lang w:eastAsia="ja-JP"/>
        </w:rPr>
        <w:t>PCell</w:t>
      </w:r>
      <w:proofErr w:type="spellEnd"/>
    </w:p>
    <w:p w14:paraId="2FD1032A" w14:textId="35EC2670" w:rsidR="00920E00" w:rsidRPr="00920E00" w:rsidRDefault="00920E00" w:rsidP="00367FB1">
      <w:pPr>
        <w:numPr>
          <w:ilvl w:val="2"/>
          <w:numId w:val="12"/>
        </w:numPr>
        <w:ind w:rightChars="100" w:right="240"/>
        <w:jc w:val="both"/>
        <w:rPr>
          <w:rFonts w:eastAsia="MS Mincho"/>
          <w:b/>
          <w:i/>
          <w:sz w:val="20"/>
          <w:szCs w:val="20"/>
          <w:lang w:eastAsia="ja-JP"/>
        </w:rPr>
      </w:pPr>
      <w:r w:rsidRPr="00920E00">
        <w:rPr>
          <w:rFonts w:eastAsia="MS Mincho"/>
          <w:b/>
          <w:i/>
          <w:sz w:val="20"/>
          <w:szCs w:val="20"/>
          <w:lang w:eastAsia="ja-JP"/>
        </w:rPr>
        <w:t>For</w:t>
      </w:r>
      <w:r w:rsidR="00B11665">
        <w:rPr>
          <w:rFonts w:eastAsia="MS Mincho"/>
          <w:b/>
          <w:i/>
          <w:sz w:val="20"/>
          <w:szCs w:val="20"/>
          <w:lang w:eastAsia="ja-JP"/>
        </w:rPr>
        <w:t xml:space="preserve"> </w:t>
      </w:r>
      <w:r w:rsidRPr="00920E00">
        <w:rPr>
          <w:rFonts w:eastAsia="MS Mincho"/>
          <w:b/>
          <w:i/>
          <w:sz w:val="20"/>
          <w:szCs w:val="20"/>
          <w:lang w:eastAsia="ja-JP"/>
        </w:rPr>
        <w:t>scheduling/HARQ timing of LTE FDD carrier, DL-reference UL/DL configuration defined for LTE-FDD-</w:t>
      </w:r>
      <w:proofErr w:type="spellStart"/>
      <w:r w:rsidRPr="00920E00">
        <w:rPr>
          <w:rFonts w:eastAsia="MS Mincho"/>
          <w:b/>
          <w:i/>
          <w:sz w:val="20"/>
          <w:szCs w:val="20"/>
          <w:lang w:eastAsia="ja-JP"/>
        </w:rPr>
        <w:t>SCell</w:t>
      </w:r>
      <w:proofErr w:type="spellEnd"/>
      <w:r w:rsidRPr="00920E00">
        <w:rPr>
          <w:rFonts w:eastAsia="MS Mincho"/>
          <w:b/>
          <w:i/>
          <w:sz w:val="20"/>
          <w:szCs w:val="20"/>
          <w:lang w:eastAsia="ja-JP"/>
        </w:rPr>
        <w:t xml:space="preserve"> in LTE-TDD-FDD CA with LTE-TDD-</w:t>
      </w:r>
      <w:proofErr w:type="spellStart"/>
      <w:r w:rsidRPr="00920E00">
        <w:rPr>
          <w:rFonts w:eastAsia="MS Mincho"/>
          <w:b/>
          <w:i/>
          <w:sz w:val="20"/>
          <w:szCs w:val="20"/>
          <w:lang w:eastAsia="ja-JP"/>
        </w:rPr>
        <w:t>PCell</w:t>
      </w:r>
      <w:proofErr w:type="spellEnd"/>
      <w:r w:rsidRPr="00920E00">
        <w:rPr>
          <w:rFonts w:eastAsia="MS Mincho"/>
          <w:b/>
          <w:i/>
          <w:sz w:val="20"/>
          <w:szCs w:val="20"/>
          <w:lang w:eastAsia="ja-JP"/>
        </w:rPr>
        <w:t xml:space="preserve"> is applied</w:t>
      </w:r>
    </w:p>
    <w:p w14:paraId="00732D57" w14:textId="77777777" w:rsidR="00920E00" w:rsidRPr="00920E00" w:rsidRDefault="00920E00" w:rsidP="00367FB1">
      <w:pPr>
        <w:numPr>
          <w:ilvl w:val="1"/>
          <w:numId w:val="12"/>
        </w:numPr>
        <w:ind w:rightChars="100" w:right="240"/>
        <w:jc w:val="both"/>
        <w:rPr>
          <w:rFonts w:eastAsia="MS Mincho"/>
          <w:b/>
          <w:i/>
          <w:sz w:val="20"/>
          <w:szCs w:val="20"/>
          <w:lang w:eastAsia="ja-JP"/>
        </w:rPr>
      </w:pPr>
      <w:r w:rsidRPr="00920E00">
        <w:rPr>
          <w:rFonts w:eastAsia="MS Mincho"/>
          <w:b/>
          <w:i/>
          <w:sz w:val="20"/>
          <w:szCs w:val="20"/>
          <w:lang w:eastAsia="ja-JP"/>
        </w:rPr>
        <w:t>Case 2: Release 15 LTE-FDD HARQ timing</w:t>
      </w:r>
    </w:p>
    <w:p w14:paraId="5D9F163B" w14:textId="77777777" w:rsidR="00920E00" w:rsidRPr="00920E00" w:rsidRDefault="00920E00" w:rsidP="00367FB1">
      <w:pPr>
        <w:numPr>
          <w:ilvl w:val="2"/>
          <w:numId w:val="12"/>
        </w:numPr>
        <w:ind w:rightChars="100" w:right="240"/>
        <w:jc w:val="both"/>
        <w:rPr>
          <w:rFonts w:eastAsia="MS Mincho"/>
          <w:b/>
          <w:i/>
          <w:sz w:val="20"/>
          <w:szCs w:val="20"/>
          <w:lang w:eastAsia="ja-JP"/>
        </w:rPr>
      </w:pPr>
      <w:r w:rsidRPr="00920E00">
        <w:rPr>
          <w:rFonts w:eastAsia="MS Mincho"/>
          <w:b/>
          <w:i/>
          <w:sz w:val="20"/>
          <w:szCs w:val="20"/>
          <w:lang w:eastAsia="ja-JP"/>
        </w:rPr>
        <w:t>No impact on LTE RAN1 specifications</w:t>
      </w:r>
    </w:p>
    <w:p w14:paraId="3B24B50B" w14:textId="77777777" w:rsidR="00920E00" w:rsidRDefault="00920E00" w:rsidP="00367FB1">
      <w:pPr>
        <w:numPr>
          <w:ilvl w:val="1"/>
          <w:numId w:val="12"/>
        </w:numPr>
        <w:ind w:rightChars="100" w:right="240"/>
        <w:jc w:val="both"/>
        <w:rPr>
          <w:rFonts w:eastAsia="宋体"/>
          <w:b/>
          <w:i/>
          <w:lang w:val="en-GB" w:eastAsia="zh-CN"/>
        </w:rPr>
      </w:pPr>
      <w:r w:rsidRPr="00920E00">
        <w:rPr>
          <w:rFonts w:eastAsia="MS Mincho"/>
          <w:b/>
          <w:i/>
          <w:sz w:val="20"/>
          <w:szCs w:val="20"/>
          <w:lang w:eastAsia="ja-JP"/>
        </w:rPr>
        <w:t>Note: it doesn’t necessarily imply that UE has to support both cases</w:t>
      </w:r>
    </w:p>
    <w:p w14:paraId="0470D08B" w14:textId="44C5727E" w:rsidR="00276F68" w:rsidRPr="000613A9" w:rsidRDefault="00CE54CB" w:rsidP="00276F68">
      <w:pPr>
        <w:pStyle w:val="a0"/>
        <w:rPr>
          <w:rFonts w:eastAsia="宋体"/>
          <w:lang w:eastAsia="zh-CN"/>
        </w:rPr>
      </w:pPr>
      <w:r>
        <w:rPr>
          <w:rFonts w:eastAsia="宋体"/>
          <w:lang w:eastAsia="zh-CN"/>
        </w:rPr>
        <w:lastRenderedPageBreak/>
        <w:t>In</w:t>
      </w:r>
      <w:r w:rsidR="00276F68">
        <w:rPr>
          <w:rFonts w:eastAsia="宋体"/>
          <w:lang w:eastAsia="zh-CN"/>
        </w:rPr>
        <w:t xml:space="preserve"> Case 1</w:t>
      </w:r>
      <w:r w:rsidR="00AB1969">
        <w:rPr>
          <w:rFonts w:eastAsia="宋体"/>
          <w:lang w:eastAsia="zh-CN"/>
        </w:rPr>
        <w:t xml:space="preserve"> above</w:t>
      </w:r>
      <w:r w:rsidR="00276F68" w:rsidRPr="000613A9">
        <w:rPr>
          <w:rFonts w:eastAsia="宋体" w:hint="eastAsia"/>
          <w:lang w:eastAsia="zh-CN"/>
        </w:rPr>
        <w:t xml:space="preserve">, </w:t>
      </w:r>
      <w:r w:rsidR="00276F68">
        <w:rPr>
          <w:rFonts w:eastAsia="宋体" w:hint="eastAsia"/>
          <w:lang w:eastAsia="zh-CN"/>
        </w:rPr>
        <w:t>t</w:t>
      </w:r>
      <w:r w:rsidR="00276F68" w:rsidRPr="00276F68">
        <w:rPr>
          <w:rFonts w:eastAsia="宋体"/>
          <w:lang w:eastAsia="zh-CN"/>
        </w:rPr>
        <w:t>he UE is not required to support transmission of LTE PRACH or SRS transmission which does not coincide with the configured HARQ-ACK transmission occasions</w:t>
      </w:r>
      <w:r>
        <w:rPr>
          <w:rFonts w:eastAsia="宋体"/>
          <w:lang w:eastAsia="zh-CN"/>
        </w:rPr>
        <w:t>. This</w:t>
      </w:r>
      <w:r w:rsidR="00AB1969">
        <w:rPr>
          <w:rFonts w:eastAsia="宋体"/>
          <w:lang w:eastAsia="zh-CN"/>
        </w:rPr>
        <w:t xml:space="preserve"> is in line with the agreements for single uplink.</w:t>
      </w:r>
    </w:p>
    <w:p w14:paraId="76FD0C6E" w14:textId="70788128" w:rsidR="00276F68" w:rsidRDefault="00276F68" w:rsidP="00276F68">
      <w:pPr>
        <w:pStyle w:val="a0"/>
        <w:rPr>
          <w:rFonts w:eastAsia="宋体"/>
          <w:b/>
          <w:i/>
          <w:lang w:val="en-GB" w:eastAsia="zh-CN"/>
        </w:rPr>
      </w:pPr>
      <w:r>
        <w:rPr>
          <w:rFonts w:eastAsia="宋体" w:hint="eastAsia"/>
          <w:b/>
          <w:i/>
          <w:lang w:val="en-GB" w:eastAsia="zh-CN"/>
        </w:rPr>
        <w:t xml:space="preserve">Proposal </w:t>
      </w:r>
      <w:r>
        <w:rPr>
          <w:rFonts w:eastAsia="宋体"/>
          <w:b/>
          <w:i/>
          <w:lang w:val="en-GB" w:eastAsia="zh-CN"/>
        </w:rPr>
        <w:t>2</w:t>
      </w:r>
      <w:r>
        <w:rPr>
          <w:rFonts w:eastAsia="宋体" w:hint="eastAsia"/>
          <w:b/>
          <w:i/>
          <w:lang w:val="en-GB" w:eastAsia="zh-CN"/>
        </w:rPr>
        <w:t>:</w:t>
      </w:r>
    </w:p>
    <w:p w14:paraId="6F7D9E60" w14:textId="4131C6AE" w:rsidR="0045723A" w:rsidRDefault="0045723A" w:rsidP="00276F68">
      <w:pPr>
        <w:pStyle w:val="a0"/>
        <w:rPr>
          <w:rFonts w:eastAsia="宋体"/>
          <w:b/>
          <w:i/>
          <w:lang w:val="en-GB" w:eastAsia="zh-CN"/>
        </w:rPr>
      </w:pPr>
      <w:r>
        <w:rPr>
          <w:rFonts w:eastAsia="宋体" w:hint="eastAsia"/>
          <w:b/>
          <w:i/>
          <w:lang w:eastAsia="zh-CN"/>
        </w:rPr>
        <w:t xml:space="preserve">The </w:t>
      </w:r>
      <w:r>
        <w:rPr>
          <w:rFonts w:eastAsia="宋体"/>
          <w:b/>
          <w:i/>
          <w:lang w:eastAsia="zh-CN"/>
        </w:rPr>
        <w:t>following</w:t>
      </w:r>
      <w:r>
        <w:rPr>
          <w:rFonts w:eastAsia="宋体" w:hint="eastAsia"/>
          <w:b/>
          <w:i/>
          <w:lang w:eastAsia="zh-CN"/>
        </w:rPr>
        <w:t xml:space="preserve"> </w:t>
      </w:r>
      <w:r>
        <w:rPr>
          <w:rFonts w:eastAsia="宋体"/>
          <w:b/>
          <w:i/>
          <w:lang w:eastAsia="zh-CN"/>
        </w:rPr>
        <w:t>agreements</w:t>
      </w:r>
      <w:r>
        <w:rPr>
          <w:rFonts w:eastAsia="宋体" w:hint="eastAsia"/>
          <w:b/>
          <w:i/>
          <w:lang w:eastAsia="zh-CN"/>
        </w:rPr>
        <w:t xml:space="preserve"> for single UL </w:t>
      </w:r>
      <w:proofErr w:type="spellStart"/>
      <w:proofErr w:type="gramStart"/>
      <w:r>
        <w:rPr>
          <w:rFonts w:eastAsia="宋体" w:hint="eastAsia"/>
          <w:b/>
          <w:i/>
          <w:lang w:eastAsia="zh-CN"/>
        </w:rPr>
        <w:t>Tx</w:t>
      </w:r>
      <w:proofErr w:type="spellEnd"/>
      <w:proofErr w:type="gramEnd"/>
      <w:r>
        <w:rPr>
          <w:rFonts w:eastAsia="宋体" w:hint="eastAsia"/>
          <w:b/>
          <w:i/>
          <w:lang w:eastAsia="zh-CN"/>
        </w:rPr>
        <w:t xml:space="preserve"> is reused for TDM based harmonic interference handling.</w:t>
      </w:r>
    </w:p>
    <w:p w14:paraId="64D2D10B" w14:textId="77777777" w:rsidR="00276F68" w:rsidRPr="00920E00" w:rsidRDefault="00276F68" w:rsidP="00276F68">
      <w:pPr>
        <w:pStyle w:val="a0"/>
        <w:numPr>
          <w:ilvl w:val="0"/>
          <w:numId w:val="21"/>
        </w:numPr>
        <w:rPr>
          <w:rFonts w:eastAsia="宋体"/>
          <w:b/>
          <w:i/>
          <w:lang w:eastAsia="zh-CN"/>
        </w:rPr>
      </w:pPr>
      <w:r w:rsidRPr="00920E00">
        <w:rPr>
          <w:rFonts w:eastAsia="宋体"/>
          <w:b/>
          <w:i/>
          <w:lang w:val="en-GB" w:eastAsia="zh-CN"/>
        </w:rPr>
        <w:t>For Case 1, FDD timing configuration (i.e., periodicity and offset) is applied to LTE PRACH and SRS on LTE UL carriers.</w:t>
      </w:r>
    </w:p>
    <w:p w14:paraId="5697464D" w14:textId="4EE848A4" w:rsidR="00276F68" w:rsidRPr="00CE54CB" w:rsidRDefault="00276F68" w:rsidP="00CE54CB">
      <w:pPr>
        <w:pStyle w:val="a0"/>
        <w:numPr>
          <w:ilvl w:val="0"/>
          <w:numId w:val="21"/>
        </w:numPr>
        <w:rPr>
          <w:rFonts w:eastAsia="宋体"/>
          <w:b/>
          <w:i/>
          <w:lang w:val="en-GB" w:eastAsia="zh-CN"/>
        </w:rPr>
      </w:pPr>
      <w:r w:rsidRPr="00920E00">
        <w:rPr>
          <w:rFonts w:eastAsia="宋体"/>
          <w:b/>
          <w:i/>
          <w:lang w:val="en-GB" w:eastAsia="zh-CN"/>
        </w:rPr>
        <w:t>The UE is not required to support transmission of LTE PRACH or SRS transmission which does not coincide with the configured HARQ-ACK transmission occasions</w:t>
      </w:r>
      <w:r w:rsidR="00CE54CB">
        <w:rPr>
          <w:rFonts w:eastAsia="宋体"/>
          <w:b/>
          <w:i/>
          <w:lang w:val="en-GB" w:eastAsia="zh-CN"/>
        </w:rPr>
        <w:t>.</w:t>
      </w:r>
    </w:p>
    <w:p w14:paraId="55847F43" w14:textId="77777777" w:rsidR="002A3C8E" w:rsidRDefault="002A3C8E">
      <w:pPr>
        <w:pStyle w:val="a0"/>
        <w:rPr>
          <w:rFonts w:eastAsia="宋体"/>
          <w:lang w:eastAsia="zh-CN"/>
        </w:rPr>
      </w:pPr>
    </w:p>
    <w:p w14:paraId="0A42439C" w14:textId="37E602DC" w:rsidR="00920E00" w:rsidRDefault="004C2B35">
      <w:pPr>
        <w:pStyle w:val="a0"/>
        <w:rPr>
          <w:rFonts w:eastAsia="宋体"/>
          <w:b/>
          <w:i/>
          <w:lang w:eastAsia="zh-CN"/>
        </w:rPr>
      </w:pPr>
      <w:r w:rsidRPr="004C2B35">
        <w:rPr>
          <w:rFonts w:eastAsia="宋体" w:hint="eastAsia"/>
          <w:lang w:eastAsia="zh-CN"/>
        </w:rPr>
        <w:t xml:space="preserve">In addition to Case 1 in Proposal 1, </w:t>
      </w:r>
      <w:r w:rsidR="00FF59E1">
        <w:rPr>
          <w:rFonts w:eastAsia="宋体"/>
          <w:lang w:eastAsia="zh-CN"/>
        </w:rPr>
        <w:t>the</w:t>
      </w:r>
      <w:r w:rsidRPr="004C2B35">
        <w:rPr>
          <w:rFonts w:eastAsia="宋体" w:hint="eastAsia"/>
          <w:lang w:eastAsia="zh-CN"/>
        </w:rPr>
        <w:t xml:space="preserve"> </w:t>
      </w:r>
      <w:r w:rsidRPr="00C17D4A">
        <w:rPr>
          <w:rFonts w:eastAsia="宋体"/>
          <w:lang w:eastAsia="zh-CN"/>
        </w:rPr>
        <w:t xml:space="preserve">UE-specific HARQ </w:t>
      </w:r>
      <w:proofErr w:type="spellStart"/>
      <w:r w:rsidRPr="00C17D4A">
        <w:rPr>
          <w:rFonts w:eastAsia="宋体"/>
          <w:lang w:eastAsia="zh-CN"/>
        </w:rPr>
        <w:t>subframe</w:t>
      </w:r>
      <w:proofErr w:type="spellEnd"/>
      <w:r w:rsidRPr="00C17D4A">
        <w:rPr>
          <w:rFonts w:eastAsia="宋体"/>
          <w:lang w:eastAsia="zh-CN"/>
        </w:rPr>
        <w:t xml:space="preserve"> offset</w:t>
      </w:r>
      <w:r>
        <w:rPr>
          <w:rFonts w:eastAsia="宋体"/>
          <w:lang w:eastAsia="zh-CN"/>
        </w:rPr>
        <w:t xml:space="preserve"> for DL HARQ, UL HARQ and UL scheduling for single uplink can be reused</w:t>
      </w:r>
      <w:r w:rsidR="00AB1969">
        <w:rPr>
          <w:rFonts w:eastAsia="宋体"/>
          <w:lang w:eastAsia="zh-CN"/>
        </w:rPr>
        <w:t xml:space="preserve"> for </w:t>
      </w:r>
      <w:r w:rsidR="007D4BE3">
        <w:rPr>
          <w:rFonts w:eastAsia="宋体" w:hint="eastAsia"/>
          <w:lang w:eastAsia="zh-CN"/>
        </w:rPr>
        <w:t xml:space="preserve">TDM based </w:t>
      </w:r>
      <w:r w:rsidR="00AB1969">
        <w:rPr>
          <w:rFonts w:eastAsia="宋体"/>
          <w:lang w:eastAsia="zh-CN"/>
        </w:rPr>
        <w:t>harmonic interference handling</w:t>
      </w:r>
      <w:r>
        <w:rPr>
          <w:rFonts w:eastAsia="宋体"/>
          <w:lang w:eastAsia="zh-CN"/>
        </w:rPr>
        <w:t>.</w:t>
      </w:r>
    </w:p>
    <w:p w14:paraId="6ADA99B7" w14:textId="43E617C7" w:rsidR="00920E00" w:rsidRDefault="00920E00">
      <w:pPr>
        <w:pStyle w:val="a0"/>
        <w:rPr>
          <w:rFonts w:eastAsia="宋体"/>
          <w:b/>
          <w:i/>
          <w:lang w:eastAsia="zh-CN"/>
        </w:rPr>
      </w:pPr>
      <w:r>
        <w:rPr>
          <w:rFonts w:eastAsia="宋体"/>
          <w:b/>
          <w:i/>
          <w:lang w:eastAsia="zh-CN"/>
        </w:rPr>
        <w:t xml:space="preserve">Proposal </w:t>
      </w:r>
      <w:r w:rsidR="00276F68">
        <w:rPr>
          <w:rFonts w:eastAsia="宋体"/>
          <w:b/>
          <w:i/>
          <w:lang w:eastAsia="zh-CN"/>
        </w:rPr>
        <w:t>3</w:t>
      </w:r>
      <w:r>
        <w:rPr>
          <w:rFonts w:eastAsia="宋体"/>
          <w:b/>
          <w:i/>
          <w:lang w:eastAsia="zh-CN"/>
        </w:rPr>
        <w:t>:</w:t>
      </w:r>
    </w:p>
    <w:p w14:paraId="7212F998" w14:textId="31762C65" w:rsidR="00BD2DB7" w:rsidRDefault="00BD2DB7" w:rsidP="00920E00">
      <w:pPr>
        <w:pStyle w:val="a0"/>
        <w:numPr>
          <w:ilvl w:val="0"/>
          <w:numId w:val="22"/>
        </w:numPr>
        <w:rPr>
          <w:rFonts w:eastAsia="宋体"/>
          <w:b/>
          <w:i/>
          <w:lang w:eastAsia="zh-CN"/>
        </w:rPr>
      </w:pPr>
      <w:r>
        <w:rPr>
          <w:rFonts w:eastAsia="宋体" w:hint="eastAsia"/>
          <w:b/>
          <w:i/>
          <w:lang w:eastAsia="zh-CN"/>
        </w:rPr>
        <w:t xml:space="preserve">The UE-specific HARQ </w:t>
      </w:r>
      <w:proofErr w:type="spellStart"/>
      <w:r>
        <w:rPr>
          <w:rFonts w:eastAsia="宋体" w:hint="eastAsia"/>
          <w:b/>
          <w:i/>
          <w:lang w:eastAsia="zh-CN"/>
        </w:rPr>
        <w:t>subframe</w:t>
      </w:r>
      <w:proofErr w:type="spellEnd"/>
      <w:r>
        <w:rPr>
          <w:rFonts w:eastAsia="宋体" w:hint="eastAsia"/>
          <w:b/>
          <w:i/>
          <w:lang w:eastAsia="zh-CN"/>
        </w:rPr>
        <w:t xml:space="preserve"> offset as agreed for single UL </w:t>
      </w:r>
      <w:proofErr w:type="spellStart"/>
      <w:r>
        <w:rPr>
          <w:rFonts w:eastAsia="宋体" w:hint="eastAsia"/>
          <w:b/>
          <w:i/>
          <w:lang w:eastAsia="zh-CN"/>
        </w:rPr>
        <w:t>Tx</w:t>
      </w:r>
      <w:proofErr w:type="spellEnd"/>
      <w:r>
        <w:rPr>
          <w:rFonts w:eastAsia="宋体" w:hint="eastAsia"/>
          <w:b/>
          <w:i/>
          <w:lang w:eastAsia="zh-CN"/>
        </w:rPr>
        <w:t xml:space="preserve"> is reused for TDM based harmonic interference handling.</w:t>
      </w:r>
    </w:p>
    <w:p w14:paraId="212F8273" w14:textId="77777777" w:rsidR="00E2067C" w:rsidRPr="00920E00" w:rsidRDefault="00792D16" w:rsidP="0045723A">
      <w:pPr>
        <w:pStyle w:val="a0"/>
        <w:numPr>
          <w:ilvl w:val="1"/>
          <w:numId w:val="22"/>
        </w:numPr>
        <w:rPr>
          <w:rFonts w:eastAsia="宋体"/>
          <w:b/>
          <w:i/>
          <w:lang w:eastAsia="zh-CN"/>
        </w:rPr>
      </w:pPr>
      <w:r w:rsidRPr="00920E00">
        <w:rPr>
          <w:rFonts w:eastAsia="宋体"/>
          <w:b/>
          <w:i/>
          <w:lang w:eastAsia="zh-CN"/>
        </w:rPr>
        <w:t xml:space="preserve">In Case 1, LTE TDD UL HARQ timing is supported and the UE is allowed to transmit only in the </w:t>
      </w:r>
      <w:proofErr w:type="spellStart"/>
      <w:r w:rsidRPr="00920E00">
        <w:rPr>
          <w:rFonts w:eastAsia="宋体"/>
          <w:b/>
          <w:i/>
          <w:lang w:eastAsia="zh-CN"/>
        </w:rPr>
        <w:t>subframes</w:t>
      </w:r>
      <w:proofErr w:type="spellEnd"/>
      <w:r w:rsidRPr="00920E00">
        <w:rPr>
          <w:rFonts w:eastAsia="宋体"/>
          <w:b/>
          <w:i/>
          <w:lang w:eastAsia="zh-CN"/>
        </w:rPr>
        <w:t xml:space="preserve"> designated as UL in the reference TDD configuration. Additionally, a UE-specific HARQ </w:t>
      </w:r>
      <w:proofErr w:type="spellStart"/>
      <w:r w:rsidRPr="00920E00">
        <w:rPr>
          <w:rFonts w:eastAsia="宋体"/>
          <w:b/>
          <w:i/>
          <w:lang w:eastAsia="zh-CN"/>
        </w:rPr>
        <w:t>subframe</w:t>
      </w:r>
      <w:proofErr w:type="spellEnd"/>
      <w:r w:rsidRPr="00920E00">
        <w:rPr>
          <w:rFonts w:eastAsia="宋体"/>
          <w:b/>
          <w:i/>
          <w:lang w:eastAsia="zh-CN"/>
        </w:rPr>
        <w:t xml:space="preserve"> offset can be configured. </w:t>
      </w:r>
    </w:p>
    <w:p w14:paraId="36AC382A"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The offset (</w:t>
      </w:r>
      <w:proofErr w:type="spellStart"/>
      <w:r w:rsidRPr="00920E00">
        <w:rPr>
          <w:rFonts w:eastAsia="宋体"/>
          <w:b/>
          <w:i/>
          <w:lang w:eastAsia="zh-CN"/>
        </w:rPr>
        <w:t>HARQ_offset</w:t>
      </w:r>
      <w:proofErr w:type="spellEnd"/>
      <w:r w:rsidRPr="00920E00">
        <w:rPr>
          <w:rFonts w:eastAsia="宋体"/>
          <w:b/>
          <w:i/>
          <w:lang w:eastAsia="zh-CN"/>
        </w:rPr>
        <w:t>) is in the range [0…9]</w:t>
      </w:r>
    </w:p>
    <w:p w14:paraId="07F37A8E"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 xml:space="preserve">The offset doesn’t change any </w:t>
      </w:r>
      <w:proofErr w:type="spellStart"/>
      <w:r w:rsidRPr="00920E00">
        <w:rPr>
          <w:rFonts w:eastAsia="宋体"/>
          <w:b/>
          <w:i/>
          <w:lang w:eastAsia="zh-CN"/>
        </w:rPr>
        <w:t>subframe</w:t>
      </w:r>
      <w:proofErr w:type="spellEnd"/>
      <w:r w:rsidRPr="00920E00">
        <w:rPr>
          <w:rFonts w:eastAsia="宋体"/>
          <w:b/>
          <w:i/>
          <w:lang w:eastAsia="zh-CN"/>
        </w:rPr>
        <w:t xml:space="preserve"> or slot number</w:t>
      </w:r>
    </w:p>
    <w:p w14:paraId="22B13E27"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 xml:space="preserve">If, before applying the offset, the HARQ feedback for DL SF number m was mapped to UL SF number n, then after the offset, the HARQ feedback for DL SF number (m + </w:t>
      </w:r>
      <w:proofErr w:type="spellStart"/>
      <w:r w:rsidRPr="00920E00">
        <w:rPr>
          <w:rFonts w:eastAsia="宋体"/>
          <w:b/>
          <w:i/>
          <w:lang w:eastAsia="zh-CN"/>
        </w:rPr>
        <w:t>HARQ_offset</w:t>
      </w:r>
      <w:proofErr w:type="spellEnd"/>
      <w:r w:rsidRPr="00920E00">
        <w:rPr>
          <w:rFonts w:eastAsia="宋体"/>
          <w:b/>
          <w:i/>
          <w:lang w:eastAsia="zh-CN"/>
        </w:rPr>
        <w:t xml:space="preserve">) is mapped to UL SF number (n + </w:t>
      </w:r>
      <w:proofErr w:type="spellStart"/>
      <w:r w:rsidRPr="00920E00">
        <w:rPr>
          <w:rFonts w:eastAsia="宋体"/>
          <w:b/>
          <w:i/>
          <w:lang w:eastAsia="zh-CN"/>
        </w:rPr>
        <w:t>HARQ_offset</w:t>
      </w:r>
      <w:proofErr w:type="spellEnd"/>
      <w:r w:rsidRPr="00920E00">
        <w:rPr>
          <w:rFonts w:eastAsia="宋体"/>
          <w:b/>
          <w:i/>
          <w:lang w:eastAsia="zh-CN"/>
        </w:rPr>
        <w:t>)</w:t>
      </w:r>
    </w:p>
    <w:p w14:paraId="04AA2A39"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 xml:space="preserve">If, before applying the offset, the PUSCH in SF number m was scheduled (by UL grant or PHICH) in SF number n, then after the offset, the PUSCH in SF number (m + </w:t>
      </w:r>
      <w:proofErr w:type="spellStart"/>
      <w:r w:rsidRPr="00920E00">
        <w:rPr>
          <w:rFonts w:eastAsia="宋体"/>
          <w:b/>
          <w:i/>
          <w:lang w:eastAsia="zh-CN"/>
        </w:rPr>
        <w:t>HARQ_offset</w:t>
      </w:r>
      <w:proofErr w:type="spellEnd"/>
      <w:r w:rsidRPr="00920E00">
        <w:rPr>
          <w:rFonts w:eastAsia="宋体"/>
          <w:b/>
          <w:i/>
          <w:lang w:eastAsia="zh-CN"/>
        </w:rPr>
        <w:t xml:space="preserve">) is scheduled (by UL grant or PHICH) in SF number (n + </w:t>
      </w:r>
      <w:proofErr w:type="spellStart"/>
      <w:r w:rsidRPr="00920E00">
        <w:rPr>
          <w:rFonts w:eastAsia="宋体"/>
          <w:b/>
          <w:i/>
          <w:lang w:eastAsia="zh-CN"/>
        </w:rPr>
        <w:t>HARQ_offset</w:t>
      </w:r>
      <w:proofErr w:type="spellEnd"/>
      <w:r w:rsidRPr="00920E00">
        <w:rPr>
          <w:rFonts w:eastAsia="宋体"/>
          <w:b/>
          <w:i/>
          <w:lang w:eastAsia="zh-CN"/>
        </w:rPr>
        <w:t>)</w:t>
      </w:r>
    </w:p>
    <w:p w14:paraId="0F228E33"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920E00">
        <w:rPr>
          <w:rFonts w:eastAsia="宋体"/>
          <w:b/>
          <w:i/>
          <w:lang w:eastAsia="zh-CN"/>
        </w:rPr>
        <w:t>HARQ_offset</w:t>
      </w:r>
      <w:proofErr w:type="spellEnd"/>
      <w:r w:rsidRPr="00920E00">
        <w:rPr>
          <w:rFonts w:eastAsia="宋体"/>
          <w:b/>
          <w:i/>
          <w:lang w:eastAsia="zh-CN"/>
        </w:rPr>
        <w:t xml:space="preserve">) is transmitted in SF number (n + </w:t>
      </w:r>
      <w:proofErr w:type="spellStart"/>
      <w:r w:rsidRPr="00920E00">
        <w:rPr>
          <w:rFonts w:eastAsia="宋体"/>
          <w:b/>
          <w:i/>
          <w:lang w:eastAsia="zh-CN"/>
        </w:rPr>
        <w:t>HARQ_offset</w:t>
      </w:r>
      <w:proofErr w:type="spellEnd"/>
      <w:r w:rsidRPr="00920E00">
        <w:rPr>
          <w:rFonts w:eastAsia="宋体"/>
          <w:b/>
          <w:i/>
          <w:lang w:eastAsia="zh-CN"/>
        </w:rPr>
        <w:t>)</w:t>
      </w:r>
    </w:p>
    <w:p w14:paraId="3BB5E490" w14:textId="77777777" w:rsidR="00E2067C" w:rsidRPr="00920E00" w:rsidRDefault="00792D16" w:rsidP="0045723A">
      <w:pPr>
        <w:pStyle w:val="a0"/>
        <w:numPr>
          <w:ilvl w:val="2"/>
          <w:numId w:val="22"/>
        </w:numPr>
        <w:rPr>
          <w:rFonts w:eastAsia="宋体"/>
          <w:b/>
          <w:i/>
          <w:lang w:eastAsia="zh-CN"/>
        </w:rPr>
      </w:pPr>
      <w:r w:rsidRPr="00920E00">
        <w:rPr>
          <w:rFonts w:eastAsia="宋体"/>
          <w:b/>
          <w:i/>
          <w:lang w:eastAsia="zh-CN"/>
        </w:rPr>
        <w:t xml:space="preserve">SRS and PRACH transmission may only occur in </w:t>
      </w:r>
      <w:proofErr w:type="spellStart"/>
      <w:r w:rsidRPr="00920E00">
        <w:rPr>
          <w:rFonts w:eastAsia="宋体"/>
          <w:b/>
          <w:i/>
          <w:lang w:eastAsia="zh-CN"/>
        </w:rPr>
        <w:t>subframes</w:t>
      </w:r>
      <w:proofErr w:type="spellEnd"/>
      <w:r w:rsidRPr="00920E00">
        <w:rPr>
          <w:rFonts w:eastAsia="宋体"/>
          <w:b/>
          <w:i/>
          <w:lang w:eastAsia="zh-CN"/>
        </w:rPr>
        <w:t xml:space="preserve"> indicated as UL in the reference TDD configuration but shifted by the configured non-zero </w:t>
      </w:r>
      <w:proofErr w:type="spellStart"/>
      <w:r w:rsidRPr="00920E00">
        <w:rPr>
          <w:rFonts w:eastAsia="宋体"/>
          <w:b/>
          <w:i/>
          <w:lang w:eastAsia="zh-CN"/>
        </w:rPr>
        <w:t>HARQ_offset</w:t>
      </w:r>
      <w:proofErr w:type="spellEnd"/>
    </w:p>
    <w:p w14:paraId="3715EB2F" w14:textId="40A64B5A" w:rsidR="004940D8" w:rsidRPr="004940D8" w:rsidRDefault="004940D8" w:rsidP="0045723A">
      <w:pPr>
        <w:pStyle w:val="a0"/>
        <w:rPr>
          <w:rFonts w:eastAsia="宋体"/>
          <w:b/>
          <w:i/>
          <w:lang w:val="en-GB" w:eastAsia="zh-CN"/>
        </w:rPr>
      </w:pPr>
    </w:p>
    <w:p w14:paraId="374013B6" w14:textId="77777777" w:rsidR="009A5810" w:rsidRDefault="00845037" w:rsidP="0070374D">
      <w:pPr>
        <w:pStyle w:val="1"/>
        <w:keepLines/>
        <w:numPr>
          <w:ilvl w:val="0"/>
          <w:numId w:val="7"/>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040F44D" w14:textId="018E46E3" w:rsidR="00227188" w:rsidRDefault="00AD553B" w:rsidP="00A91914">
      <w:pPr>
        <w:pStyle w:val="a0"/>
        <w:rPr>
          <w:rFonts w:eastAsia="宋体"/>
          <w:b/>
          <w:i/>
          <w:lang w:val="en-GB" w:eastAsia="zh-CN"/>
        </w:rPr>
      </w:pPr>
      <w:r>
        <w:rPr>
          <w:rFonts w:eastAsia="宋体" w:hint="eastAsia"/>
          <w:lang w:eastAsia="zh-CN"/>
        </w:rPr>
        <w:t xml:space="preserve">In this contribution, </w:t>
      </w:r>
      <w:r>
        <w:rPr>
          <w:rFonts w:eastAsia="宋体"/>
          <w:lang w:eastAsia="zh-CN"/>
        </w:rPr>
        <w:t xml:space="preserve">the remaining issues for </w:t>
      </w:r>
      <w:r>
        <w:rPr>
          <w:rFonts w:cs="Arial"/>
        </w:rPr>
        <w:t xml:space="preserve"> harmonics </w:t>
      </w:r>
      <w:r w:rsidRPr="00840234">
        <w:rPr>
          <w:rFonts w:cs="Arial"/>
        </w:rPr>
        <w:t>interference handling</w:t>
      </w:r>
      <w:r>
        <w:rPr>
          <w:rFonts w:eastAsia="宋体"/>
          <w:lang w:eastAsia="zh-CN"/>
        </w:rPr>
        <w:t xml:space="preserve"> including the HARQ timing, </w:t>
      </w:r>
      <w:r w:rsidRPr="00C17D4A">
        <w:rPr>
          <w:rFonts w:eastAsia="宋体"/>
          <w:lang w:eastAsia="zh-CN"/>
        </w:rPr>
        <w:t xml:space="preserve">UE-specific HARQ </w:t>
      </w:r>
      <w:proofErr w:type="spellStart"/>
      <w:r w:rsidRPr="00C17D4A">
        <w:rPr>
          <w:rFonts w:eastAsia="宋体"/>
          <w:lang w:eastAsia="zh-CN"/>
        </w:rPr>
        <w:t>subframe</w:t>
      </w:r>
      <w:proofErr w:type="spellEnd"/>
      <w:r w:rsidRPr="00C17D4A">
        <w:rPr>
          <w:rFonts w:eastAsia="宋体"/>
          <w:lang w:eastAsia="zh-CN"/>
        </w:rPr>
        <w:t xml:space="preserve"> offset</w:t>
      </w:r>
      <w:r>
        <w:rPr>
          <w:rFonts w:eastAsia="宋体"/>
          <w:lang w:eastAsia="zh-CN"/>
        </w:rPr>
        <w:t xml:space="preserve"> and PRACH/SRS transmission are discussed and proposals are given</w:t>
      </w:r>
      <w:r w:rsidR="0045723A">
        <w:rPr>
          <w:rFonts w:eastAsia="宋体" w:hint="eastAsia"/>
          <w:lang w:eastAsia="zh-CN"/>
        </w:rPr>
        <w:t xml:space="preserve"> as follows.</w:t>
      </w:r>
    </w:p>
    <w:p w14:paraId="63DD4C05" w14:textId="77777777" w:rsidR="00200988" w:rsidRDefault="00200988" w:rsidP="00200988">
      <w:pPr>
        <w:pStyle w:val="a0"/>
        <w:rPr>
          <w:rFonts w:eastAsia="宋体"/>
          <w:b/>
          <w:i/>
          <w:lang w:val="en-GB" w:eastAsia="zh-CN"/>
        </w:rPr>
      </w:pPr>
      <w:r w:rsidRPr="00C637A5">
        <w:rPr>
          <w:rFonts w:eastAsia="宋体"/>
          <w:b/>
          <w:i/>
          <w:lang w:val="en-GB" w:eastAsia="zh-CN"/>
        </w:rPr>
        <w:t xml:space="preserve">Proposal 1: </w:t>
      </w:r>
    </w:p>
    <w:p w14:paraId="3BBA4D8F" w14:textId="6731FAA9" w:rsidR="00200988" w:rsidRPr="00920E00" w:rsidRDefault="00200988" w:rsidP="00200988">
      <w:pPr>
        <w:pStyle w:val="a0"/>
        <w:rPr>
          <w:rFonts w:eastAsia="宋体"/>
          <w:b/>
          <w:i/>
          <w:lang w:eastAsia="zh-CN"/>
        </w:rPr>
      </w:pPr>
      <w:r>
        <w:rPr>
          <w:rFonts w:eastAsia="宋体" w:hint="eastAsia"/>
          <w:b/>
          <w:i/>
          <w:lang w:eastAsia="zh-CN"/>
        </w:rPr>
        <w:t xml:space="preserve">Following scheduling/HARQ timing </w:t>
      </w:r>
      <w:r>
        <w:rPr>
          <w:rFonts w:eastAsia="宋体"/>
          <w:b/>
          <w:i/>
          <w:lang w:eastAsia="zh-CN"/>
        </w:rPr>
        <w:t>configuration</w:t>
      </w:r>
      <w:r>
        <w:rPr>
          <w:rFonts w:eastAsia="宋体" w:hint="eastAsia"/>
          <w:b/>
          <w:i/>
          <w:lang w:eastAsia="zh-CN"/>
        </w:rPr>
        <w:t xml:space="preserve"> for single UL </w:t>
      </w:r>
      <w:proofErr w:type="spellStart"/>
      <w:proofErr w:type="gramStart"/>
      <w:r>
        <w:rPr>
          <w:rFonts w:eastAsia="宋体" w:hint="eastAsia"/>
          <w:b/>
          <w:i/>
          <w:lang w:eastAsia="zh-CN"/>
        </w:rPr>
        <w:t>Tx</w:t>
      </w:r>
      <w:proofErr w:type="spellEnd"/>
      <w:proofErr w:type="gramEnd"/>
      <w:r>
        <w:rPr>
          <w:rFonts w:eastAsia="宋体" w:hint="eastAsia"/>
          <w:b/>
          <w:i/>
          <w:lang w:eastAsia="zh-CN"/>
        </w:rPr>
        <w:t xml:space="preserve"> is reused for TDM based</w:t>
      </w:r>
      <w:r w:rsidR="0045723A">
        <w:rPr>
          <w:rFonts w:eastAsia="宋体" w:hint="eastAsia"/>
          <w:b/>
          <w:i/>
          <w:lang w:eastAsia="zh-CN"/>
        </w:rPr>
        <w:t xml:space="preserve"> harmonic interference handling</w:t>
      </w:r>
    </w:p>
    <w:p w14:paraId="753E3672" w14:textId="77777777" w:rsidR="00200988" w:rsidRPr="00920E00" w:rsidRDefault="00200988" w:rsidP="00200988">
      <w:pPr>
        <w:numPr>
          <w:ilvl w:val="0"/>
          <w:numId w:val="12"/>
        </w:numPr>
        <w:tabs>
          <w:tab w:val="clear" w:pos="720"/>
          <w:tab w:val="num" w:pos="960"/>
          <w:tab w:val="left" w:pos="1440"/>
        </w:tabs>
        <w:ind w:leftChars="100" w:left="600" w:rightChars="100" w:right="240"/>
        <w:jc w:val="both"/>
        <w:rPr>
          <w:rFonts w:eastAsia="MS Mincho"/>
          <w:b/>
          <w:i/>
          <w:sz w:val="20"/>
          <w:szCs w:val="20"/>
          <w:lang w:eastAsia="ja-JP"/>
        </w:rPr>
      </w:pPr>
      <w:r w:rsidRPr="00920E00">
        <w:rPr>
          <w:rFonts w:eastAsia="MS Mincho"/>
          <w:b/>
          <w:i/>
          <w:sz w:val="20"/>
          <w:szCs w:val="20"/>
          <w:lang w:eastAsia="ja-JP"/>
        </w:rPr>
        <w:t xml:space="preserve">For LTE carrier, UE can be configured with </w:t>
      </w:r>
    </w:p>
    <w:p w14:paraId="6EBBA8E6" w14:textId="77777777" w:rsidR="00200988" w:rsidRPr="00920E00" w:rsidRDefault="00200988" w:rsidP="00200988">
      <w:pPr>
        <w:numPr>
          <w:ilvl w:val="1"/>
          <w:numId w:val="12"/>
        </w:numPr>
        <w:ind w:rightChars="100" w:right="240"/>
        <w:jc w:val="both"/>
        <w:rPr>
          <w:rFonts w:eastAsia="MS Mincho"/>
          <w:b/>
          <w:i/>
          <w:sz w:val="20"/>
          <w:szCs w:val="20"/>
          <w:lang w:eastAsia="ja-JP"/>
        </w:rPr>
      </w:pPr>
      <w:r w:rsidRPr="00920E00">
        <w:rPr>
          <w:rFonts w:eastAsia="MS Mincho"/>
          <w:b/>
          <w:i/>
          <w:sz w:val="20"/>
          <w:szCs w:val="20"/>
          <w:lang w:eastAsia="ja-JP"/>
        </w:rPr>
        <w:t>Case 1: DL-reference UL/DL configuration defined for LTE-FDD-</w:t>
      </w:r>
      <w:proofErr w:type="spellStart"/>
      <w:r w:rsidRPr="00920E00">
        <w:rPr>
          <w:rFonts w:eastAsia="MS Mincho"/>
          <w:b/>
          <w:i/>
          <w:sz w:val="20"/>
          <w:szCs w:val="20"/>
          <w:lang w:eastAsia="ja-JP"/>
        </w:rPr>
        <w:t>SCell</w:t>
      </w:r>
      <w:proofErr w:type="spellEnd"/>
      <w:r w:rsidRPr="00920E00">
        <w:rPr>
          <w:rFonts w:eastAsia="MS Mincho"/>
          <w:b/>
          <w:i/>
          <w:sz w:val="20"/>
          <w:szCs w:val="20"/>
          <w:lang w:eastAsia="ja-JP"/>
        </w:rPr>
        <w:t xml:space="preserve"> in LTE-TDD-FDD CA with LTE-TDD-</w:t>
      </w:r>
      <w:proofErr w:type="spellStart"/>
      <w:r w:rsidRPr="00920E00">
        <w:rPr>
          <w:rFonts w:eastAsia="MS Mincho"/>
          <w:b/>
          <w:i/>
          <w:sz w:val="20"/>
          <w:szCs w:val="20"/>
          <w:lang w:eastAsia="ja-JP"/>
        </w:rPr>
        <w:t>PCell</w:t>
      </w:r>
      <w:proofErr w:type="spellEnd"/>
    </w:p>
    <w:p w14:paraId="304B7891" w14:textId="77777777" w:rsidR="00200988" w:rsidRPr="00920E00" w:rsidRDefault="00200988" w:rsidP="00200988">
      <w:pPr>
        <w:numPr>
          <w:ilvl w:val="2"/>
          <w:numId w:val="12"/>
        </w:numPr>
        <w:ind w:rightChars="100" w:right="240"/>
        <w:jc w:val="both"/>
        <w:rPr>
          <w:rFonts w:eastAsia="MS Mincho"/>
          <w:b/>
          <w:i/>
          <w:sz w:val="20"/>
          <w:szCs w:val="20"/>
          <w:lang w:eastAsia="ja-JP"/>
        </w:rPr>
      </w:pPr>
      <w:r w:rsidRPr="00920E00">
        <w:rPr>
          <w:rFonts w:eastAsia="MS Mincho"/>
          <w:b/>
          <w:i/>
          <w:sz w:val="20"/>
          <w:szCs w:val="20"/>
          <w:lang w:eastAsia="ja-JP"/>
        </w:rPr>
        <w:t>For</w:t>
      </w:r>
      <w:r>
        <w:rPr>
          <w:rFonts w:eastAsia="MS Mincho"/>
          <w:b/>
          <w:i/>
          <w:sz w:val="20"/>
          <w:szCs w:val="20"/>
          <w:lang w:eastAsia="ja-JP"/>
        </w:rPr>
        <w:t xml:space="preserve"> </w:t>
      </w:r>
      <w:r w:rsidRPr="00920E00">
        <w:rPr>
          <w:rFonts w:eastAsia="MS Mincho"/>
          <w:b/>
          <w:i/>
          <w:sz w:val="20"/>
          <w:szCs w:val="20"/>
          <w:lang w:eastAsia="ja-JP"/>
        </w:rPr>
        <w:t>scheduling/HARQ timing of LTE FDD carrier, DL-reference UL/DL configuration defined for LTE-FDD-</w:t>
      </w:r>
      <w:proofErr w:type="spellStart"/>
      <w:r w:rsidRPr="00920E00">
        <w:rPr>
          <w:rFonts w:eastAsia="MS Mincho"/>
          <w:b/>
          <w:i/>
          <w:sz w:val="20"/>
          <w:szCs w:val="20"/>
          <w:lang w:eastAsia="ja-JP"/>
        </w:rPr>
        <w:t>SCell</w:t>
      </w:r>
      <w:proofErr w:type="spellEnd"/>
      <w:r w:rsidRPr="00920E00">
        <w:rPr>
          <w:rFonts w:eastAsia="MS Mincho"/>
          <w:b/>
          <w:i/>
          <w:sz w:val="20"/>
          <w:szCs w:val="20"/>
          <w:lang w:eastAsia="ja-JP"/>
        </w:rPr>
        <w:t xml:space="preserve"> in LTE-TDD-FDD CA with LTE-TDD-</w:t>
      </w:r>
      <w:proofErr w:type="spellStart"/>
      <w:r w:rsidRPr="00920E00">
        <w:rPr>
          <w:rFonts w:eastAsia="MS Mincho"/>
          <w:b/>
          <w:i/>
          <w:sz w:val="20"/>
          <w:szCs w:val="20"/>
          <w:lang w:eastAsia="ja-JP"/>
        </w:rPr>
        <w:t>PCell</w:t>
      </w:r>
      <w:proofErr w:type="spellEnd"/>
      <w:r w:rsidRPr="00920E00">
        <w:rPr>
          <w:rFonts w:eastAsia="MS Mincho"/>
          <w:b/>
          <w:i/>
          <w:sz w:val="20"/>
          <w:szCs w:val="20"/>
          <w:lang w:eastAsia="ja-JP"/>
        </w:rPr>
        <w:t xml:space="preserve"> is applied</w:t>
      </w:r>
    </w:p>
    <w:p w14:paraId="5A5D13A3" w14:textId="77777777" w:rsidR="00200988" w:rsidRPr="00920E00" w:rsidRDefault="00200988" w:rsidP="00200988">
      <w:pPr>
        <w:numPr>
          <w:ilvl w:val="1"/>
          <w:numId w:val="12"/>
        </w:numPr>
        <w:ind w:rightChars="100" w:right="240"/>
        <w:jc w:val="both"/>
        <w:rPr>
          <w:rFonts w:eastAsia="MS Mincho"/>
          <w:b/>
          <w:i/>
          <w:sz w:val="20"/>
          <w:szCs w:val="20"/>
          <w:lang w:eastAsia="ja-JP"/>
        </w:rPr>
      </w:pPr>
      <w:r w:rsidRPr="00920E00">
        <w:rPr>
          <w:rFonts w:eastAsia="MS Mincho"/>
          <w:b/>
          <w:i/>
          <w:sz w:val="20"/>
          <w:szCs w:val="20"/>
          <w:lang w:eastAsia="ja-JP"/>
        </w:rPr>
        <w:t>Case 2: Release 15 LTE-FDD HARQ timing</w:t>
      </w:r>
    </w:p>
    <w:p w14:paraId="3FC74090" w14:textId="77777777" w:rsidR="00200988" w:rsidRPr="00920E00" w:rsidRDefault="00200988" w:rsidP="00200988">
      <w:pPr>
        <w:numPr>
          <w:ilvl w:val="2"/>
          <w:numId w:val="12"/>
        </w:numPr>
        <w:ind w:rightChars="100" w:right="240"/>
        <w:jc w:val="both"/>
        <w:rPr>
          <w:rFonts w:eastAsia="MS Mincho"/>
          <w:b/>
          <w:i/>
          <w:sz w:val="20"/>
          <w:szCs w:val="20"/>
          <w:lang w:eastAsia="ja-JP"/>
        </w:rPr>
      </w:pPr>
      <w:r w:rsidRPr="00920E00">
        <w:rPr>
          <w:rFonts w:eastAsia="MS Mincho"/>
          <w:b/>
          <w:i/>
          <w:sz w:val="20"/>
          <w:szCs w:val="20"/>
          <w:lang w:eastAsia="ja-JP"/>
        </w:rPr>
        <w:lastRenderedPageBreak/>
        <w:t>No impact on LTE RAN1 specifications</w:t>
      </w:r>
    </w:p>
    <w:p w14:paraId="5A04A0D0" w14:textId="77777777" w:rsidR="00200988" w:rsidRPr="0045723A" w:rsidRDefault="00200988" w:rsidP="00200988">
      <w:pPr>
        <w:numPr>
          <w:ilvl w:val="1"/>
          <w:numId w:val="12"/>
        </w:numPr>
        <w:ind w:rightChars="100" w:right="240"/>
        <w:jc w:val="both"/>
        <w:rPr>
          <w:rFonts w:eastAsia="宋体"/>
          <w:b/>
          <w:i/>
          <w:lang w:val="en-GB" w:eastAsia="zh-CN"/>
        </w:rPr>
      </w:pPr>
      <w:r w:rsidRPr="00920E00">
        <w:rPr>
          <w:rFonts w:eastAsia="MS Mincho"/>
          <w:b/>
          <w:i/>
          <w:sz w:val="20"/>
          <w:szCs w:val="20"/>
          <w:lang w:eastAsia="ja-JP"/>
        </w:rPr>
        <w:t>Note: it doesn’t necessarily imply that UE has to support both cases</w:t>
      </w:r>
    </w:p>
    <w:p w14:paraId="7A3A3C96" w14:textId="77777777" w:rsidR="004D15C2" w:rsidRDefault="004D15C2" w:rsidP="00200988">
      <w:pPr>
        <w:pStyle w:val="a0"/>
        <w:rPr>
          <w:rFonts w:eastAsia="宋体"/>
          <w:b/>
          <w:i/>
          <w:lang w:val="en-GB" w:eastAsia="zh-CN"/>
        </w:rPr>
      </w:pPr>
    </w:p>
    <w:p w14:paraId="00469787" w14:textId="77777777" w:rsidR="00200988" w:rsidRDefault="00200988" w:rsidP="00200988">
      <w:pPr>
        <w:pStyle w:val="a0"/>
        <w:rPr>
          <w:rFonts w:eastAsia="宋体"/>
          <w:b/>
          <w:i/>
          <w:lang w:val="en-GB" w:eastAsia="zh-CN"/>
        </w:rPr>
      </w:pPr>
      <w:r>
        <w:rPr>
          <w:rFonts w:eastAsia="宋体" w:hint="eastAsia"/>
          <w:b/>
          <w:i/>
          <w:lang w:val="en-GB" w:eastAsia="zh-CN"/>
        </w:rPr>
        <w:t xml:space="preserve">Proposal </w:t>
      </w:r>
      <w:r>
        <w:rPr>
          <w:rFonts w:eastAsia="宋体"/>
          <w:b/>
          <w:i/>
          <w:lang w:val="en-GB" w:eastAsia="zh-CN"/>
        </w:rPr>
        <w:t>2</w:t>
      </w:r>
      <w:r>
        <w:rPr>
          <w:rFonts w:eastAsia="宋体" w:hint="eastAsia"/>
          <w:b/>
          <w:i/>
          <w:lang w:val="en-GB" w:eastAsia="zh-CN"/>
        </w:rPr>
        <w:t>:</w:t>
      </w:r>
    </w:p>
    <w:p w14:paraId="68EC9392" w14:textId="26A27F52" w:rsidR="00815EFC" w:rsidRDefault="00815EFC" w:rsidP="00200988">
      <w:pPr>
        <w:pStyle w:val="a0"/>
        <w:rPr>
          <w:rFonts w:eastAsia="宋体"/>
          <w:b/>
          <w:i/>
          <w:lang w:val="en-GB" w:eastAsia="zh-CN"/>
        </w:rPr>
      </w:pPr>
      <w:r>
        <w:rPr>
          <w:rFonts w:eastAsia="宋体" w:hint="eastAsia"/>
          <w:b/>
          <w:i/>
          <w:lang w:eastAsia="zh-CN"/>
        </w:rPr>
        <w:t xml:space="preserve">The </w:t>
      </w:r>
      <w:r>
        <w:rPr>
          <w:rFonts w:eastAsia="宋体"/>
          <w:b/>
          <w:i/>
          <w:lang w:eastAsia="zh-CN"/>
        </w:rPr>
        <w:t>following</w:t>
      </w:r>
      <w:r>
        <w:rPr>
          <w:rFonts w:eastAsia="宋体" w:hint="eastAsia"/>
          <w:b/>
          <w:i/>
          <w:lang w:eastAsia="zh-CN"/>
        </w:rPr>
        <w:t xml:space="preserve"> </w:t>
      </w:r>
      <w:r w:rsidR="0045723A">
        <w:rPr>
          <w:rFonts w:eastAsia="宋体"/>
          <w:b/>
          <w:i/>
          <w:lang w:eastAsia="zh-CN"/>
        </w:rPr>
        <w:t>agreements</w:t>
      </w:r>
      <w:r>
        <w:rPr>
          <w:rFonts w:eastAsia="宋体" w:hint="eastAsia"/>
          <w:b/>
          <w:i/>
          <w:lang w:eastAsia="zh-CN"/>
        </w:rPr>
        <w:t xml:space="preserve"> for single UL </w:t>
      </w:r>
      <w:proofErr w:type="spellStart"/>
      <w:proofErr w:type="gramStart"/>
      <w:r>
        <w:rPr>
          <w:rFonts w:eastAsia="宋体" w:hint="eastAsia"/>
          <w:b/>
          <w:i/>
          <w:lang w:eastAsia="zh-CN"/>
        </w:rPr>
        <w:t>Tx</w:t>
      </w:r>
      <w:proofErr w:type="spellEnd"/>
      <w:proofErr w:type="gramEnd"/>
      <w:r>
        <w:rPr>
          <w:rFonts w:eastAsia="宋体" w:hint="eastAsia"/>
          <w:b/>
          <w:i/>
          <w:lang w:eastAsia="zh-CN"/>
        </w:rPr>
        <w:t xml:space="preserve"> is reused for TDM based harmonic interference handling.</w:t>
      </w:r>
    </w:p>
    <w:p w14:paraId="203E09C2" w14:textId="77777777" w:rsidR="00200988" w:rsidRPr="0045723A" w:rsidRDefault="00200988" w:rsidP="0045723A">
      <w:pPr>
        <w:pStyle w:val="a0"/>
        <w:numPr>
          <w:ilvl w:val="0"/>
          <w:numId w:val="21"/>
        </w:numPr>
        <w:rPr>
          <w:rFonts w:eastAsia="宋体"/>
          <w:b/>
          <w:lang w:eastAsia="zh-CN"/>
        </w:rPr>
      </w:pPr>
      <w:r w:rsidRPr="0045723A">
        <w:rPr>
          <w:rFonts w:eastAsia="宋体"/>
          <w:b/>
          <w:lang w:val="en-GB" w:eastAsia="zh-CN"/>
        </w:rPr>
        <w:t>For Case 1, FDD timing configuration (i.e., periodicity and offset) is applied to LTE PRACH and SRS on LTE UL carriers.</w:t>
      </w:r>
    </w:p>
    <w:p w14:paraId="64C54DCD" w14:textId="070925C8" w:rsidR="00200988" w:rsidRPr="0045723A" w:rsidRDefault="00200988" w:rsidP="0045723A">
      <w:pPr>
        <w:pStyle w:val="a0"/>
        <w:numPr>
          <w:ilvl w:val="0"/>
          <w:numId w:val="21"/>
        </w:numPr>
        <w:rPr>
          <w:rFonts w:eastAsia="宋体"/>
          <w:b/>
          <w:lang w:eastAsia="zh-CN"/>
        </w:rPr>
      </w:pPr>
      <w:r w:rsidRPr="0045723A">
        <w:rPr>
          <w:rFonts w:eastAsia="宋体"/>
          <w:b/>
          <w:lang w:val="en-GB" w:eastAsia="zh-CN"/>
        </w:rPr>
        <w:t>The UE is not required to support transmission of LTE PRACH or SRS transmission which does not coincide with the configured HARQ-ACK transmission occasions.</w:t>
      </w:r>
    </w:p>
    <w:p w14:paraId="27333EAE" w14:textId="77777777" w:rsidR="004D15C2" w:rsidRDefault="004D15C2" w:rsidP="00200988">
      <w:pPr>
        <w:pStyle w:val="a0"/>
        <w:rPr>
          <w:rFonts w:eastAsia="宋体"/>
          <w:b/>
          <w:i/>
          <w:lang w:eastAsia="zh-CN"/>
        </w:rPr>
      </w:pPr>
    </w:p>
    <w:p w14:paraId="0DCA30DE" w14:textId="77777777" w:rsidR="00200988" w:rsidRDefault="00200988" w:rsidP="00200988">
      <w:pPr>
        <w:pStyle w:val="a0"/>
        <w:rPr>
          <w:rFonts w:eastAsia="宋体"/>
          <w:b/>
          <w:i/>
          <w:lang w:eastAsia="zh-CN"/>
        </w:rPr>
      </w:pPr>
      <w:r>
        <w:rPr>
          <w:rFonts w:eastAsia="宋体"/>
          <w:b/>
          <w:i/>
          <w:lang w:eastAsia="zh-CN"/>
        </w:rPr>
        <w:t>Proposal 3:</w:t>
      </w:r>
    </w:p>
    <w:p w14:paraId="20C15DDC" w14:textId="46A59ADB" w:rsidR="00200988" w:rsidRDefault="00200988" w:rsidP="00200988">
      <w:pPr>
        <w:pStyle w:val="a0"/>
        <w:numPr>
          <w:ilvl w:val="0"/>
          <w:numId w:val="22"/>
        </w:numPr>
        <w:rPr>
          <w:rFonts w:eastAsia="宋体"/>
          <w:b/>
          <w:i/>
          <w:lang w:eastAsia="zh-CN"/>
        </w:rPr>
      </w:pPr>
      <w:r>
        <w:rPr>
          <w:rFonts w:eastAsia="宋体" w:hint="eastAsia"/>
          <w:b/>
          <w:i/>
          <w:lang w:eastAsia="zh-CN"/>
        </w:rPr>
        <w:t xml:space="preserve">The UE-specific HARQ </w:t>
      </w:r>
      <w:proofErr w:type="spellStart"/>
      <w:r>
        <w:rPr>
          <w:rFonts w:eastAsia="宋体" w:hint="eastAsia"/>
          <w:b/>
          <w:i/>
          <w:lang w:eastAsia="zh-CN"/>
        </w:rPr>
        <w:t>subframe</w:t>
      </w:r>
      <w:proofErr w:type="spellEnd"/>
      <w:r>
        <w:rPr>
          <w:rFonts w:eastAsia="宋体" w:hint="eastAsia"/>
          <w:b/>
          <w:i/>
          <w:lang w:eastAsia="zh-CN"/>
        </w:rPr>
        <w:t xml:space="preserve"> offset as agreed for single UL </w:t>
      </w:r>
      <w:proofErr w:type="spellStart"/>
      <w:r>
        <w:rPr>
          <w:rFonts w:eastAsia="宋体" w:hint="eastAsia"/>
          <w:b/>
          <w:i/>
          <w:lang w:eastAsia="zh-CN"/>
        </w:rPr>
        <w:t>Tx</w:t>
      </w:r>
      <w:proofErr w:type="spellEnd"/>
      <w:r>
        <w:rPr>
          <w:rFonts w:eastAsia="宋体" w:hint="eastAsia"/>
          <w:b/>
          <w:i/>
          <w:lang w:eastAsia="zh-CN"/>
        </w:rPr>
        <w:t xml:space="preserve"> is reused for TDM based harmonic interference handling.</w:t>
      </w:r>
    </w:p>
    <w:p w14:paraId="353A9704" w14:textId="77777777" w:rsidR="00200988" w:rsidRPr="00920E00" w:rsidRDefault="00200988" w:rsidP="00200988">
      <w:pPr>
        <w:pStyle w:val="a0"/>
        <w:numPr>
          <w:ilvl w:val="1"/>
          <w:numId w:val="22"/>
        </w:numPr>
        <w:rPr>
          <w:rFonts w:eastAsia="宋体"/>
          <w:b/>
          <w:i/>
          <w:lang w:eastAsia="zh-CN"/>
        </w:rPr>
      </w:pPr>
      <w:r w:rsidRPr="00920E00">
        <w:rPr>
          <w:rFonts w:eastAsia="宋体"/>
          <w:b/>
          <w:i/>
          <w:lang w:eastAsia="zh-CN"/>
        </w:rPr>
        <w:t xml:space="preserve">In Case 1, LTE TDD UL HARQ timing is supported and the UE is allowed to transmit only in the </w:t>
      </w:r>
      <w:proofErr w:type="spellStart"/>
      <w:r w:rsidRPr="00920E00">
        <w:rPr>
          <w:rFonts w:eastAsia="宋体"/>
          <w:b/>
          <w:i/>
          <w:lang w:eastAsia="zh-CN"/>
        </w:rPr>
        <w:t>subframes</w:t>
      </w:r>
      <w:proofErr w:type="spellEnd"/>
      <w:r w:rsidRPr="00920E00">
        <w:rPr>
          <w:rFonts w:eastAsia="宋体"/>
          <w:b/>
          <w:i/>
          <w:lang w:eastAsia="zh-CN"/>
        </w:rPr>
        <w:t xml:space="preserve"> designated as UL in the reference TDD configuration. Additionally, a UE-specific HARQ </w:t>
      </w:r>
      <w:proofErr w:type="spellStart"/>
      <w:r w:rsidRPr="00920E00">
        <w:rPr>
          <w:rFonts w:eastAsia="宋体"/>
          <w:b/>
          <w:i/>
          <w:lang w:eastAsia="zh-CN"/>
        </w:rPr>
        <w:t>subframe</w:t>
      </w:r>
      <w:proofErr w:type="spellEnd"/>
      <w:r w:rsidRPr="00920E00">
        <w:rPr>
          <w:rFonts w:eastAsia="宋体"/>
          <w:b/>
          <w:i/>
          <w:lang w:eastAsia="zh-CN"/>
        </w:rPr>
        <w:t xml:space="preserve"> offset can be configured. </w:t>
      </w:r>
    </w:p>
    <w:p w14:paraId="23C042FB" w14:textId="77777777" w:rsidR="00200988" w:rsidRPr="00920E00" w:rsidRDefault="00200988" w:rsidP="00200988">
      <w:pPr>
        <w:pStyle w:val="a0"/>
        <w:numPr>
          <w:ilvl w:val="2"/>
          <w:numId w:val="22"/>
        </w:numPr>
        <w:rPr>
          <w:rFonts w:eastAsia="宋体"/>
          <w:b/>
          <w:i/>
          <w:lang w:eastAsia="zh-CN"/>
        </w:rPr>
      </w:pPr>
      <w:r w:rsidRPr="00920E00">
        <w:rPr>
          <w:rFonts w:eastAsia="宋体"/>
          <w:b/>
          <w:i/>
          <w:lang w:eastAsia="zh-CN"/>
        </w:rPr>
        <w:t>The offset (</w:t>
      </w:r>
      <w:proofErr w:type="spellStart"/>
      <w:r w:rsidRPr="00920E00">
        <w:rPr>
          <w:rFonts w:eastAsia="宋体"/>
          <w:b/>
          <w:i/>
          <w:lang w:eastAsia="zh-CN"/>
        </w:rPr>
        <w:t>HARQ_offset</w:t>
      </w:r>
      <w:proofErr w:type="spellEnd"/>
      <w:r w:rsidRPr="00920E00">
        <w:rPr>
          <w:rFonts w:eastAsia="宋体"/>
          <w:b/>
          <w:i/>
          <w:lang w:eastAsia="zh-CN"/>
        </w:rPr>
        <w:t>) is in the range [0…9]</w:t>
      </w:r>
    </w:p>
    <w:p w14:paraId="21D65873" w14:textId="77777777" w:rsidR="00200988" w:rsidRPr="00920E00" w:rsidRDefault="00200988" w:rsidP="00200988">
      <w:pPr>
        <w:pStyle w:val="a0"/>
        <w:numPr>
          <w:ilvl w:val="2"/>
          <w:numId w:val="22"/>
        </w:numPr>
        <w:rPr>
          <w:rFonts w:eastAsia="宋体"/>
          <w:b/>
          <w:i/>
          <w:lang w:eastAsia="zh-CN"/>
        </w:rPr>
      </w:pPr>
      <w:r w:rsidRPr="00920E00">
        <w:rPr>
          <w:rFonts w:eastAsia="宋体"/>
          <w:b/>
          <w:i/>
          <w:lang w:eastAsia="zh-CN"/>
        </w:rPr>
        <w:t xml:space="preserve">The offset doesn’t change any </w:t>
      </w:r>
      <w:proofErr w:type="spellStart"/>
      <w:r w:rsidRPr="00920E00">
        <w:rPr>
          <w:rFonts w:eastAsia="宋体"/>
          <w:b/>
          <w:i/>
          <w:lang w:eastAsia="zh-CN"/>
        </w:rPr>
        <w:t>subframe</w:t>
      </w:r>
      <w:proofErr w:type="spellEnd"/>
      <w:r w:rsidRPr="00920E00">
        <w:rPr>
          <w:rFonts w:eastAsia="宋体"/>
          <w:b/>
          <w:i/>
          <w:lang w:eastAsia="zh-CN"/>
        </w:rPr>
        <w:t xml:space="preserve"> or slot number</w:t>
      </w:r>
    </w:p>
    <w:p w14:paraId="370BEF45" w14:textId="77777777" w:rsidR="00200988" w:rsidRPr="00920E00" w:rsidRDefault="00200988" w:rsidP="00200988">
      <w:pPr>
        <w:pStyle w:val="a0"/>
        <w:numPr>
          <w:ilvl w:val="2"/>
          <w:numId w:val="22"/>
        </w:numPr>
        <w:rPr>
          <w:rFonts w:eastAsia="宋体"/>
          <w:b/>
          <w:i/>
          <w:lang w:eastAsia="zh-CN"/>
        </w:rPr>
      </w:pPr>
      <w:r w:rsidRPr="00920E00">
        <w:rPr>
          <w:rFonts w:eastAsia="宋体"/>
          <w:b/>
          <w:i/>
          <w:lang w:eastAsia="zh-CN"/>
        </w:rPr>
        <w:t xml:space="preserve">If, before applying the offset, the HARQ feedback for DL SF number m was mapped to UL SF number n, then after the offset, the HARQ feedback for DL SF number (m + </w:t>
      </w:r>
      <w:proofErr w:type="spellStart"/>
      <w:r w:rsidRPr="00920E00">
        <w:rPr>
          <w:rFonts w:eastAsia="宋体"/>
          <w:b/>
          <w:i/>
          <w:lang w:eastAsia="zh-CN"/>
        </w:rPr>
        <w:t>HARQ_offset</w:t>
      </w:r>
      <w:proofErr w:type="spellEnd"/>
      <w:r w:rsidRPr="00920E00">
        <w:rPr>
          <w:rFonts w:eastAsia="宋体"/>
          <w:b/>
          <w:i/>
          <w:lang w:eastAsia="zh-CN"/>
        </w:rPr>
        <w:t xml:space="preserve">) is mapped to UL SF number (n + </w:t>
      </w:r>
      <w:proofErr w:type="spellStart"/>
      <w:r w:rsidRPr="00920E00">
        <w:rPr>
          <w:rFonts w:eastAsia="宋体"/>
          <w:b/>
          <w:i/>
          <w:lang w:eastAsia="zh-CN"/>
        </w:rPr>
        <w:t>HARQ_offset</w:t>
      </w:r>
      <w:proofErr w:type="spellEnd"/>
      <w:r w:rsidRPr="00920E00">
        <w:rPr>
          <w:rFonts w:eastAsia="宋体"/>
          <w:b/>
          <w:i/>
          <w:lang w:eastAsia="zh-CN"/>
        </w:rPr>
        <w:t>)</w:t>
      </w:r>
    </w:p>
    <w:p w14:paraId="5FE70C72" w14:textId="77777777" w:rsidR="00200988" w:rsidRPr="00920E00" w:rsidRDefault="00200988" w:rsidP="00200988">
      <w:pPr>
        <w:pStyle w:val="a0"/>
        <w:numPr>
          <w:ilvl w:val="2"/>
          <w:numId w:val="22"/>
        </w:numPr>
        <w:rPr>
          <w:rFonts w:eastAsia="宋体"/>
          <w:b/>
          <w:i/>
          <w:lang w:eastAsia="zh-CN"/>
        </w:rPr>
      </w:pPr>
      <w:r w:rsidRPr="00920E00">
        <w:rPr>
          <w:rFonts w:eastAsia="宋体"/>
          <w:b/>
          <w:i/>
          <w:lang w:eastAsia="zh-CN"/>
        </w:rPr>
        <w:t xml:space="preserve">If, before applying the offset, the PUSCH in SF number m was scheduled (by UL grant or PHICH) in SF number n, then after the offset, the PUSCH in SF number (m + </w:t>
      </w:r>
      <w:proofErr w:type="spellStart"/>
      <w:r w:rsidRPr="00920E00">
        <w:rPr>
          <w:rFonts w:eastAsia="宋体"/>
          <w:b/>
          <w:i/>
          <w:lang w:eastAsia="zh-CN"/>
        </w:rPr>
        <w:t>HARQ_offset</w:t>
      </w:r>
      <w:proofErr w:type="spellEnd"/>
      <w:r w:rsidRPr="00920E00">
        <w:rPr>
          <w:rFonts w:eastAsia="宋体"/>
          <w:b/>
          <w:i/>
          <w:lang w:eastAsia="zh-CN"/>
        </w:rPr>
        <w:t xml:space="preserve">) is scheduled (by UL grant or PHICH) in SF number (n + </w:t>
      </w:r>
      <w:proofErr w:type="spellStart"/>
      <w:r w:rsidRPr="00920E00">
        <w:rPr>
          <w:rFonts w:eastAsia="宋体"/>
          <w:b/>
          <w:i/>
          <w:lang w:eastAsia="zh-CN"/>
        </w:rPr>
        <w:t>HARQ_offset</w:t>
      </w:r>
      <w:proofErr w:type="spellEnd"/>
      <w:r w:rsidRPr="00920E00">
        <w:rPr>
          <w:rFonts w:eastAsia="宋体"/>
          <w:b/>
          <w:i/>
          <w:lang w:eastAsia="zh-CN"/>
        </w:rPr>
        <w:t>)</w:t>
      </w:r>
    </w:p>
    <w:p w14:paraId="0913688A" w14:textId="77777777" w:rsidR="00200988" w:rsidRDefault="00200988" w:rsidP="0045723A">
      <w:pPr>
        <w:pStyle w:val="a0"/>
        <w:numPr>
          <w:ilvl w:val="2"/>
          <w:numId w:val="22"/>
        </w:numPr>
        <w:rPr>
          <w:rFonts w:eastAsia="宋体"/>
          <w:b/>
          <w:i/>
          <w:lang w:eastAsia="zh-CN"/>
        </w:rPr>
      </w:pPr>
      <w:r w:rsidRPr="00920E00">
        <w:rPr>
          <w:rFonts w:eastAsia="宋体"/>
          <w:b/>
          <w:i/>
          <w:lang w:eastAsia="zh-CN"/>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920E00">
        <w:rPr>
          <w:rFonts w:eastAsia="宋体"/>
          <w:b/>
          <w:i/>
          <w:lang w:eastAsia="zh-CN"/>
        </w:rPr>
        <w:t>HARQ_offset</w:t>
      </w:r>
      <w:proofErr w:type="spellEnd"/>
      <w:r w:rsidRPr="00920E00">
        <w:rPr>
          <w:rFonts w:eastAsia="宋体"/>
          <w:b/>
          <w:i/>
          <w:lang w:eastAsia="zh-CN"/>
        </w:rPr>
        <w:t xml:space="preserve">) is transmitted in SF number (n + </w:t>
      </w:r>
      <w:proofErr w:type="spellStart"/>
      <w:r w:rsidRPr="00920E00">
        <w:rPr>
          <w:rFonts w:eastAsia="宋体"/>
          <w:b/>
          <w:i/>
          <w:lang w:eastAsia="zh-CN"/>
        </w:rPr>
        <w:t>HARQ_offset</w:t>
      </w:r>
      <w:proofErr w:type="spellEnd"/>
      <w:r w:rsidRPr="00920E00">
        <w:rPr>
          <w:rFonts w:eastAsia="宋体"/>
          <w:b/>
          <w:i/>
          <w:lang w:eastAsia="zh-CN"/>
        </w:rPr>
        <w:t>)</w:t>
      </w:r>
    </w:p>
    <w:p w14:paraId="59041C9A" w14:textId="489E27CF" w:rsidR="00200988" w:rsidRPr="0045723A" w:rsidRDefault="00200988" w:rsidP="0045723A">
      <w:pPr>
        <w:pStyle w:val="a0"/>
        <w:numPr>
          <w:ilvl w:val="2"/>
          <w:numId w:val="22"/>
        </w:numPr>
        <w:rPr>
          <w:rFonts w:eastAsia="宋体"/>
          <w:b/>
          <w:i/>
          <w:lang w:eastAsia="zh-CN"/>
        </w:rPr>
      </w:pPr>
      <w:r w:rsidRPr="00815EFC">
        <w:rPr>
          <w:rFonts w:eastAsia="宋体"/>
          <w:b/>
          <w:i/>
          <w:lang w:eastAsia="zh-CN"/>
        </w:rPr>
        <w:t xml:space="preserve">SRS and PRACH transmission may only occur in </w:t>
      </w:r>
      <w:proofErr w:type="spellStart"/>
      <w:r w:rsidRPr="00815EFC">
        <w:rPr>
          <w:rFonts w:eastAsia="宋体"/>
          <w:b/>
          <w:i/>
          <w:lang w:eastAsia="zh-CN"/>
        </w:rPr>
        <w:t>subframes</w:t>
      </w:r>
      <w:proofErr w:type="spellEnd"/>
      <w:r w:rsidRPr="00815EFC">
        <w:rPr>
          <w:rFonts w:eastAsia="宋体"/>
          <w:b/>
          <w:i/>
          <w:lang w:eastAsia="zh-CN"/>
        </w:rPr>
        <w:t xml:space="preserve"> indicated as UL in the reference TDD configuration but shifted by the configured non-zero </w:t>
      </w:r>
      <w:proofErr w:type="spellStart"/>
      <w:r w:rsidRPr="00815EFC">
        <w:rPr>
          <w:rFonts w:eastAsia="宋体"/>
          <w:b/>
          <w:i/>
          <w:lang w:eastAsia="zh-CN"/>
        </w:rPr>
        <w:t>HARQ_offset</w:t>
      </w:r>
      <w:proofErr w:type="spellEnd"/>
    </w:p>
    <w:p w14:paraId="7F84E1F2" w14:textId="50EC6C40"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13E43">
        <w:rPr>
          <w:rFonts w:ascii="Arial" w:eastAsia="宋体" w:hAnsi="Arial" w:cs="Times New Roman"/>
          <w:b w:val="0"/>
          <w:bCs w:val="0"/>
          <w:kern w:val="0"/>
          <w:sz w:val="36"/>
          <w:szCs w:val="20"/>
          <w:lang w:val="fr-FR" w:eastAsia="zh-CN"/>
        </w:rPr>
        <w:t>Reference</w:t>
      </w:r>
      <w:r w:rsidR="00750473" w:rsidRPr="00613E43">
        <w:rPr>
          <w:rFonts w:ascii="Arial" w:eastAsia="宋体" w:hAnsi="Arial" w:cs="Times New Roman"/>
          <w:b w:val="0"/>
          <w:bCs w:val="0"/>
          <w:kern w:val="0"/>
          <w:sz w:val="36"/>
          <w:szCs w:val="20"/>
          <w:lang w:val="fr-FR" w:eastAsia="zh-CN"/>
        </w:rPr>
        <w:t>s</w:t>
      </w:r>
    </w:p>
    <w:bookmarkEnd w:id="0"/>
    <w:bookmarkEnd w:id="1"/>
    <w:p w14:paraId="0EA77FB3" w14:textId="1F8A7581" w:rsidR="00AA281E" w:rsidRPr="00C17D4A" w:rsidRDefault="0086688B" w:rsidP="00C17D4A">
      <w:pPr>
        <w:pStyle w:val="a0"/>
        <w:numPr>
          <w:ilvl w:val="0"/>
          <w:numId w:val="6"/>
        </w:numPr>
        <w:rPr>
          <w:rFonts w:eastAsia="宋体"/>
          <w:kern w:val="2"/>
          <w:szCs w:val="20"/>
          <w:lang w:eastAsia="zh-CN"/>
        </w:rPr>
      </w:pPr>
      <w:r w:rsidRPr="0017218E">
        <w:rPr>
          <w:rFonts w:eastAsia="宋体"/>
          <w:kern w:val="2"/>
          <w:szCs w:val="20"/>
          <w:lang w:eastAsia="zh-CN"/>
        </w:rPr>
        <w:t>R1-171669</w:t>
      </w:r>
      <w:r>
        <w:rPr>
          <w:rFonts w:eastAsia="宋体"/>
          <w:kern w:val="2"/>
          <w:szCs w:val="20"/>
          <w:lang w:eastAsia="zh-CN"/>
        </w:rPr>
        <w:t>6, “</w:t>
      </w:r>
      <w:r w:rsidRPr="00932CB4">
        <w:t>Offline discussions and proposals on harmonic interference handling</w:t>
      </w:r>
      <w:r>
        <w:rPr>
          <w:rFonts w:eastAsia="宋体"/>
          <w:kern w:val="2"/>
          <w:szCs w:val="20"/>
          <w:lang w:eastAsia="zh-CN"/>
        </w:rPr>
        <w:t xml:space="preserve">”, vivo, </w:t>
      </w:r>
      <w:r w:rsidRPr="003C0DD9">
        <w:rPr>
          <w:rFonts w:eastAsia="宋体"/>
          <w:kern w:val="2"/>
          <w:szCs w:val="20"/>
          <w:lang w:eastAsia="zh-CN"/>
        </w:rPr>
        <w:t>3GPP TSG RAN WG1 Meeting NR#3</w:t>
      </w:r>
      <w:r>
        <w:rPr>
          <w:rFonts w:eastAsia="宋体"/>
          <w:kern w:val="2"/>
          <w:szCs w:val="20"/>
          <w:lang w:eastAsia="zh-CN"/>
        </w:rPr>
        <w:t xml:space="preserve">, </w:t>
      </w:r>
      <w:r w:rsidRPr="003C0DD9">
        <w:rPr>
          <w:rFonts w:eastAsia="宋体"/>
          <w:kern w:val="2"/>
          <w:szCs w:val="20"/>
          <w:lang w:eastAsia="zh-CN"/>
        </w:rPr>
        <w:t>Nagoya, Japan, 18th</w:t>
      </w:r>
      <w:r w:rsidRPr="003C0DD9">
        <w:rPr>
          <w:rFonts w:eastAsia="宋体" w:hint="eastAsia"/>
          <w:kern w:val="2"/>
          <w:szCs w:val="20"/>
          <w:lang w:eastAsia="zh-CN"/>
        </w:rPr>
        <w:t xml:space="preserve"> </w:t>
      </w:r>
      <w:r w:rsidRPr="003C0DD9">
        <w:rPr>
          <w:rFonts w:eastAsia="宋体"/>
          <w:kern w:val="2"/>
          <w:szCs w:val="20"/>
          <w:lang w:eastAsia="zh-CN"/>
        </w:rPr>
        <w:t xml:space="preserve">– </w:t>
      </w:r>
      <w:r w:rsidRPr="003C0DD9">
        <w:rPr>
          <w:rFonts w:eastAsia="宋体" w:hint="eastAsia"/>
          <w:kern w:val="2"/>
          <w:szCs w:val="20"/>
          <w:lang w:eastAsia="zh-CN"/>
        </w:rPr>
        <w:t xml:space="preserve">21st, </w:t>
      </w:r>
      <w:r w:rsidRPr="003C0DD9">
        <w:rPr>
          <w:rFonts w:eastAsia="宋体"/>
          <w:kern w:val="2"/>
          <w:szCs w:val="20"/>
          <w:lang w:eastAsia="zh-CN"/>
        </w:rPr>
        <w:t>September 2017</w:t>
      </w:r>
    </w:p>
    <w:p w14:paraId="42FEF9AF" w14:textId="71B05387" w:rsidR="007D65F9" w:rsidRPr="007D65F9" w:rsidRDefault="006A1620" w:rsidP="007D65F9">
      <w:pPr>
        <w:pStyle w:val="a0"/>
        <w:numPr>
          <w:ilvl w:val="0"/>
          <w:numId w:val="6"/>
        </w:numPr>
        <w:rPr>
          <w:rFonts w:eastAsia="宋体"/>
          <w:kern w:val="2"/>
          <w:szCs w:val="20"/>
          <w:lang w:eastAsia="zh-CN"/>
        </w:rPr>
      </w:pPr>
      <w:r w:rsidRPr="006A1620">
        <w:rPr>
          <w:rFonts w:eastAsia="宋体"/>
          <w:kern w:val="2"/>
          <w:szCs w:val="20"/>
          <w:lang w:eastAsia="zh-CN"/>
        </w:rPr>
        <w:t>R1-1714827</w:t>
      </w:r>
      <w:r w:rsidR="003B09C2">
        <w:rPr>
          <w:rFonts w:eastAsia="宋体"/>
          <w:kern w:val="2"/>
          <w:szCs w:val="20"/>
          <w:lang w:eastAsia="zh-CN"/>
        </w:rPr>
        <w:t>, “</w:t>
      </w:r>
      <w:r w:rsidRPr="006A1620">
        <w:rPr>
          <w:rFonts w:eastAsia="宋体"/>
          <w:kern w:val="2"/>
          <w:szCs w:val="20"/>
          <w:lang w:eastAsia="zh-CN"/>
        </w:rPr>
        <w:t>Way forward on remaining issues of single UL transmission</w:t>
      </w:r>
      <w:r w:rsidR="003B09C2">
        <w:rPr>
          <w:rFonts w:eastAsia="宋体"/>
          <w:kern w:val="2"/>
          <w:szCs w:val="20"/>
          <w:lang w:eastAsia="zh-CN"/>
        </w:rPr>
        <w:t xml:space="preserve">”, </w:t>
      </w:r>
      <w:r w:rsidRPr="006A1620">
        <w:rPr>
          <w:rFonts w:eastAsia="宋体"/>
          <w:kern w:val="2"/>
          <w:szCs w:val="20"/>
          <w:lang w:eastAsia="zh-CN"/>
        </w:rPr>
        <w:t>NTT DOCOMO, INC., Apple, LGE</w:t>
      </w:r>
      <w:r w:rsidR="003B09C2">
        <w:rPr>
          <w:rFonts w:eastAsia="宋体"/>
          <w:kern w:val="2"/>
          <w:szCs w:val="20"/>
          <w:lang w:eastAsia="zh-CN"/>
        </w:rPr>
        <w:t xml:space="preserve">, </w:t>
      </w:r>
      <w:r w:rsidR="003B09C2" w:rsidRPr="003B09C2">
        <w:rPr>
          <w:rFonts w:eastAsia="宋体"/>
          <w:kern w:val="2"/>
          <w:szCs w:val="20"/>
          <w:lang w:eastAsia="zh-CN"/>
        </w:rPr>
        <w:t xml:space="preserve">3GPP TSG RAN WG1 </w:t>
      </w:r>
      <w:r w:rsidR="003B09C2" w:rsidRPr="003B09C2">
        <w:rPr>
          <w:rFonts w:eastAsia="宋体" w:hint="eastAsia"/>
          <w:kern w:val="2"/>
          <w:szCs w:val="20"/>
          <w:lang w:eastAsia="zh-CN"/>
        </w:rPr>
        <w:t>Meeting #90</w:t>
      </w:r>
      <w:r w:rsidR="003B09C2" w:rsidRPr="003B09C2">
        <w:rPr>
          <w:rFonts w:eastAsia="宋体"/>
          <w:kern w:val="2"/>
          <w:szCs w:val="20"/>
          <w:lang w:eastAsia="zh-CN"/>
        </w:rPr>
        <w:t>, Prague, Czech Republic, 21</w:t>
      </w:r>
      <w:r w:rsidR="003B09C2" w:rsidRPr="003B09C2">
        <w:rPr>
          <w:rFonts w:eastAsia="宋体" w:hint="eastAsia"/>
          <w:kern w:val="2"/>
          <w:szCs w:val="20"/>
          <w:lang w:eastAsia="zh-CN"/>
        </w:rPr>
        <w:t>st</w:t>
      </w:r>
      <w:r w:rsidR="003B09C2" w:rsidRPr="003B09C2">
        <w:rPr>
          <w:rFonts w:eastAsia="宋体"/>
          <w:kern w:val="2"/>
          <w:szCs w:val="20"/>
          <w:lang w:eastAsia="zh-CN"/>
        </w:rPr>
        <w:t xml:space="preserve"> – 25th August 2017</w:t>
      </w:r>
    </w:p>
    <w:p w14:paraId="376A4276" w14:textId="7351088D" w:rsidR="00921C11" w:rsidRPr="003744C2" w:rsidRDefault="007D65F9" w:rsidP="003744C2">
      <w:pPr>
        <w:pStyle w:val="a0"/>
        <w:numPr>
          <w:ilvl w:val="0"/>
          <w:numId w:val="6"/>
        </w:numPr>
        <w:rPr>
          <w:rFonts w:eastAsia="宋体"/>
          <w:kern w:val="2"/>
          <w:szCs w:val="20"/>
          <w:lang w:eastAsia="zh-CN"/>
        </w:rPr>
      </w:pPr>
      <w:r w:rsidRPr="007D65F9">
        <w:rPr>
          <w:rFonts w:eastAsia="宋体"/>
          <w:kern w:val="2"/>
          <w:szCs w:val="20"/>
          <w:lang w:eastAsia="zh-CN"/>
        </w:rPr>
        <w:t xml:space="preserve">RAN1 Chairman’s Notes, GPP TSG RAN WG1 </w:t>
      </w:r>
      <w:r w:rsidRPr="007D65F9">
        <w:rPr>
          <w:rFonts w:eastAsia="宋体" w:hint="eastAsia"/>
          <w:kern w:val="2"/>
          <w:szCs w:val="20"/>
          <w:lang w:eastAsia="zh-CN"/>
        </w:rPr>
        <w:t>Meeting 90bis</w:t>
      </w:r>
      <w:r w:rsidRPr="007D65F9">
        <w:rPr>
          <w:rFonts w:eastAsia="宋体"/>
          <w:kern w:val="2"/>
          <w:szCs w:val="20"/>
          <w:lang w:eastAsia="zh-CN"/>
        </w:rPr>
        <w:t>, Prague, CZ, 9th – 13th, October 2017</w:t>
      </w:r>
      <w:bookmarkStart w:id="2" w:name="_GoBack"/>
      <w:bookmarkEnd w:id="2"/>
    </w:p>
    <w:sectPr w:rsidR="00921C11" w:rsidRPr="003744C2" w:rsidSect="00045A94">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B1306" w14:textId="77777777" w:rsidR="00080053" w:rsidRDefault="00080053">
      <w:r>
        <w:separator/>
      </w:r>
    </w:p>
  </w:endnote>
  <w:endnote w:type="continuationSeparator" w:id="0">
    <w:p w14:paraId="2FF5EA88" w14:textId="77777777" w:rsidR="00080053" w:rsidRDefault="0008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09B54" w14:textId="77777777" w:rsidR="004A6E5B" w:rsidRPr="00E7456F" w:rsidRDefault="004A6E5B" w:rsidP="00E7456F">
    <w:pPr>
      <w:pStyle w:val="ab"/>
      <w:jc w:val="center"/>
    </w:pPr>
    <w:r>
      <w:rPr>
        <w:rStyle w:val="ac"/>
      </w:rPr>
      <w:fldChar w:fldCharType="begin"/>
    </w:r>
    <w:r>
      <w:rPr>
        <w:rStyle w:val="ac"/>
      </w:rPr>
      <w:instrText xml:space="preserve"> PAGE </w:instrText>
    </w:r>
    <w:r>
      <w:rPr>
        <w:rStyle w:val="ac"/>
      </w:rPr>
      <w:fldChar w:fldCharType="separate"/>
    </w:r>
    <w:r w:rsidR="003744C2">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744C2">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920E8" w14:textId="77777777" w:rsidR="00080053" w:rsidRDefault="00080053">
      <w:r>
        <w:separator/>
      </w:r>
    </w:p>
  </w:footnote>
  <w:footnote w:type="continuationSeparator" w:id="0">
    <w:p w14:paraId="33D25E21" w14:textId="77777777" w:rsidR="00080053" w:rsidRDefault="000800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751DC7"/>
    <w:multiLevelType w:val="hybridMultilevel"/>
    <w:tmpl w:val="1F6CC21C"/>
    <w:lvl w:ilvl="0" w:tplc="28CEF0C0">
      <w:start w:val="1"/>
      <w:numFmt w:val="bullet"/>
      <w:lvlText w:val=""/>
      <w:lvlJc w:val="left"/>
      <w:pPr>
        <w:tabs>
          <w:tab w:val="num" w:pos="720"/>
        </w:tabs>
        <w:ind w:left="720" w:hanging="360"/>
      </w:pPr>
      <w:rPr>
        <w:rFonts w:ascii="Symbol" w:hAnsi="Symbol" w:hint="default"/>
      </w:rPr>
    </w:lvl>
    <w:lvl w:ilvl="1" w:tplc="ADA05CE6">
      <w:start w:val="66"/>
      <w:numFmt w:val="bullet"/>
      <w:lvlText w:val="o"/>
      <w:lvlJc w:val="left"/>
      <w:pPr>
        <w:tabs>
          <w:tab w:val="num" w:pos="1440"/>
        </w:tabs>
        <w:ind w:left="1440" w:hanging="360"/>
      </w:pPr>
      <w:rPr>
        <w:rFonts w:ascii="Courier New" w:hAnsi="Courier New" w:hint="default"/>
      </w:rPr>
    </w:lvl>
    <w:lvl w:ilvl="2" w:tplc="777400BC">
      <w:start w:val="66"/>
      <w:numFmt w:val="bullet"/>
      <w:lvlText w:val=""/>
      <w:lvlJc w:val="left"/>
      <w:pPr>
        <w:tabs>
          <w:tab w:val="num" w:pos="2160"/>
        </w:tabs>
        <w:ind w:left="2160" w:hanging="360"/>
      </w:pPr>
      <w:rPr>
        <w:rFonts w:ascii="Wingdings" w:hAnsi="Wingdings" w:hint="default"/>
      </w:rPr>
    </w:lvl>
    <w:lvl w:ilvl="3" w:tplc="8236BB9C" w:tentative="1">
      <w:start w:val="1"/>
      <w:numFmt w:val="bullet"/>
      <w:lvlText w:val=""/>
      <w:lvlJc w:val="left"/>
      <w:pPr>
        <w:tabs>
          <w:tab w:val="num" w:pos="2880"/>
        </w:tabs>
        <w:ind w:left="2880" w:hanging="360"/>
      </w:pPr>
      <w:rPr>
        <w:rFonts w:ascii="Symbol" w:hAnsi="Symbol" w:hint="default"/>
      </w:rPr>
    </w:lvl>
    <w:lvl w:ilvl="4" w:tplc="D7AA5254" w:tentative="1">
      <w:start w:val="1"/>
      <w:numFmt w:val="bullet"/>
      <w:lvlText w:val=""/>
      <w:lvlJc w:val="left"/>
      <w:pPr>
        <w:tabs>
          <w:tab w:val="num" w:pos="3600"/>
        </w:tabs>
        <w:ind w:left="3600" w:hanging="360"/>
      </w:pPr>
      <w:rPr>
        <w:rFonts w:ascii="Symbol" w:hAnsi="Symbol" w:hint="default"/>
      </w:rPr>
    </w:lvl>
    <w:lvl w:ilvl="5" w:tplc="FAEA8086" w:tentative="1">
      <w:start w:val="1"/>
      <w:numFmt w:val="bullet"/>
      <w:lvlText w:val=""/>
      <w:lvlJc w:val="left"/>
      <w:pPr>
        <w:tabs>
          <w:tab w:val="num" w:pos="4320"/>
        </w:tabs>
        <w:ind w:left="4320" w:hanging="360"/>
      </w:pPr>
      <w:rPr>
        <w:rFonts w:ascii="Symbol" w:hAnsi="Symbol" w:hint="default"/>
      </w:rPr>
    </w:lvl>
    <w:lvl w:ilvl="6" w:tplc="2780AE72" w:tentative="1">
      <w:start w:val="1"/>
      <w:numFmt w:val="bullet"/>
      <w:lvlText w:val=""/>
      <w:lvlJc w:val="left"/>
      <w:pPr>
        <w:tabs>
          <w:tab w:val="num" w:pos="5040"/>
        </w:tabs>
        <w:ind w:left="5040" w:hanging="360"/>
      </w:pPr>
      <w:rPr>
        <w:rFonts w:ascii="Symbol" w:hAnsi="Symbol" w:hint="default"/>
      </w:rPr>
    </w:lvl>
    <w:lvl w:ilvl="7" w:tplc="BF62C4B6" w:tentative="1">
      <w:start w:val="1"/>
      <w:numFmt w:val="bullet"/>
      <w:lvlText w:val=""/>
      <w:lvlJc w:val="left"/>
      <w:pPr>
        <w:tabs>
          <w:tab w:val="num" w:pos="5760"/>
        </w:tabs>
        <w:ind w:left="5760" w:hanging="360"/>
      </w:pPr>
      <w:rPr>
        <w:rFonts w:ascii="Symbol" w:hAnsi="Symbol" w:hint="default"/>
      </w:rPr>
    </w:lvl>
    <w:lvl w:ilvl="8" w:tplc="1CDEE5A8" w:tentative="1">
      <w:start w:val="1"/>
      <w:numFmt w:val="bullet"/>
      <w:lvlText w:val=""/>
      <w:lvlJc w:val="left"/>
      <w:pPr>
        <w:tabs>
          <w:tab w:val="num" w:pos="6480"/>
        </w:tabs>
        <w:ind w:left="6480" w:hanging="360"/>
      </w:pPr>
      <w:rPr>
        <w:rFonts w:ascii="Symbol" w:hAnsi="Symbol" w:hint="default"/>
      </w:rPr>
    </w:lvl>
  </w:abstractNum>
  <w:abstractNum w:abstractNumId="2">
    <w:nsid w:val="0770767D"/>
    <w:multiLevelType w:val="hybridMultilevel"/>
    <w:tmpl w:val="CCF8F532"/>
    <w:lvl w:ilvl="0" w:tplc="103ABEEE">
      <w:start w:val="1"/>
      <w:numFmt w:val="bullet"/>
      <w:lvlText w:val="•"/>
      <w:lvlJc w:val="left"/>
      <w:pPr>
        <w:tabs>
          <w:tab w:val="num" w:pos="720"/>
        </w:tabs>
        <w:ind w:left="720" w:hanging="360"/>
      </w:pPr>
      <w:rPr>
        <w:rFonts w:ascii="Arial" w:hAnsi="Arial" w:hint="default"/>
      </w:rPr>
    </w:lvl>
    <w:lvl w:ilvl="1" w:tplc="371A344A">
      <w:start w:val="63"/>
      <w:numFmt w:val="bullet"/>
      <w:lvlText w:val="–"/>
      <w:lvlJc w:val="left"/>
      <w:pPr>
        <w:tabs>
          <w:tab w:val="num" w:pos="1440"/>
        </w:tabs>
        <w:ind w:left="1440" w:hanging="360"/>
      </w:pPr>
      <w:rPr>
        <w:rFonts w:ascii="Arial" w:hAnsi="Arial" w:hint="default"/>
      </w:rPr>
    </w:lvl>
    <w:lvl w:ilvl="2" w:tplc="6D0E19DA" w:tentative="1">
      <w:start w:val="1"/>
      <w:numFmt w:val="bullet"/>
      <w:lvlText w:val="•"/>
      <w:lvlJc w:val="left"/>
      <w:pPr>
        <w:tabs>
          <w:tab w:val="num" w:pos="2160"/>
        </w:tabs>
        <w:ind w:left="2160" w:hanging="360"/>
      </w:pPr>
      <w:rPr>
        <w:rFonts w:ascii="Arial" w:hAnsi="Arial" w:hint="default"/>
      </w:rPr>
    </w:lvl>
    <w:lvl w:ilvl="3" w:tplc="05141032" w:tentative="1">
      <w:start w:val="1"/>
      <w:numFmt w:val="bullet"/>
      <w:lvlText w:val="•"/>
      <w:lvlJc w:val="left"/>
      <w:pPr>
        <w:tabs>
          <w:tab w:val="num" w:pos="2880"/>
        </w:tabs>
        <w:ind w:left="2880" w:hanging="360"/>
      </w:pPr>
      <w:rPr>
        <w:rFonts w:ascii="Arial" w:hAnsi="Arial" w:hint="default"/>
      </w:rPr>
    </w:lvl>
    <w:lvl w:ilvl="4" w:tplc="A586A078" w:tentative="1">
      <w:start w:val="1"/>
      <w:numFmt w:val="bullet"/>
      <w:lvlText w:val="•"/>
      <w:lvlJc w:val="left"/>
      <w:pPr>
        <w:tabs>
          <w:tab w:val="num" w:pos="3600"/>
        </w:tabs>
        <w:ind w:left="3600" w:hanging="360"/>
      </w:pPr>
      <w:rPr>
        <w:rFonts w:ascii="Arial" w:hAnsi="Arial" w:hint="default"/>
      </w:rPr>
    </w:lvl>
    <w:lvl w:ilvl="5" w:tplc="B1A0F768" w:tentative="1">
      <w:start w:val="1"/>
      <w:numFmt w:val="bullet"/>
      <w:lvlText w:val="•"/>
      <w:lvlJc w:val="left"/>
      <w:pPr>
        <w:tabs>
          <w:tab w:val="num" w:pos="4320"/>
        </w:tabs>
        <w:ind w:left="4320" w:hanging="360"/>
      </w:pPr>
      <w:rPr>
        <w:rFonts w:ascii="Arial" w:hAnsi="Arial" w:hint="default"/>
      </w:rPr>
    </w:lvl>
    <w:lvl w:ilvl="6" w:tplc="DCA2C664" w:tentative="1">
      <w:start w:val="1"/>
      <w:numFmt w:val="bullet"/>
      <w:lvlText w:val="•"/>
      <w:lvlJc w:val="left"/>
      <w:pPr>
        <w:tabs>
          <w:tab w:val="num" w:pos="5040"/>
        </w:tabs>
        <w:ind w:left="5040" w:hanging="360"/>
      </w:pPr>
      <w:rPr>
        <w:rFonts w:ascii="Arial" w:hAnsi="Arial" w:hint="default"/>
      </w:rPr>
    </w:lvl>
    <w:lvl w:ilvl="7" w:tplc="92789370" w:tentative="1">
      <w:start w:val="1"/>
      <w:numFmt w:val="bullet"/>
      <w:lvlText w:val="•"/>
      <w:lvlJc w:val="left"/>
      <w:pPr>
        <w:tabs>
          <w:tab w:val="num" w:pos="5760"/>
        </w:tabs>
        <w:ind w:left="5760" w:hanging="360"/>
      </w:pPr>
      <w:rPr>
        <w:rFonts w:ascii="Arial" w:hAnsi="Arial" w:hint="default"/>
      </w:rPr>
    </w:lvl>
    <w:lvl w:ilvl="8" w:tplc="A20AC7A8" w:tentative="1">
      <w:start w:val="1"/>
      <w:numFmt w:val="bullet"/>
      <w:lvlText w:val="•"/>
      <w:lvlJc w:val="left"/>
      <w:pPr>
        <w:tabs>
          <w:tab w:val="num" w:pos="6480"/>
        </w:tabs>
        <w:ind w:left="6480" w:hanging="360"/>
      </w:pPr>
      <w:rPr>
        <w:rFonts w:ascii="Arial" w:hAnsi="Arial" w:hint="default"/>
      </w:rPr>
    </w:lvl>
  </w:abstractNum>
  <w:abstractNum w:abstractNumId="3">
    <w:nsid w:val="106534EF"/>
    <w:multiLevelType w:val="hybridMultilevel"/>
    <w:tmpl w:val="03149694"/>
    <w:lvl w:ilvl="0" w:tplc="1C7AC292">
      <w:start w:val="1"/>
      <w:numFmt w:val="bullet"/>
      <w:lvlText w:val="•"/>
      <w:lvlJc w:val="left"/>
      <w:pPr>
        <w:tabs>
          <w:tab w:val="num" w:pos="720"/>
        </w:tabs>
        <w:ind w:left="720" w:hanging="360"/>
      </w:pPr>
      <w:rPr>
        <w:rFonts w:ascii="Arial" w:hAnsi="Arial" w:hint="default"/>
      </w:rPr>
    </w:lvl>
    <w:lvl w:ilvl="1" w:tplc="09C65E76">
      <w:start w:val="63"/>
      <w:numFmt w:val="bullet"/>
      <w:lvlText w:val="–"/>
      <w:lvlJc w:val="left"/>
      <w:pPr>
        <w:tabs>
          <w:tab w:val="num" w:pos="1440"/>
        </w:tabs>
        <w:ind w:left="1440" w:hanging="360"/>
      </w:pPr>
      <w:rPr>
        <w:rFonts w:ascii="Arial" w:hAnsi="Arial" w:hint="default"/>
      </w:rPr>
    </w:lvl>
    <w:lvl w:ilvl="2" w:tplc="6C905B3A">
      <w:start w:val="63"/>
      <w:numFmt w:val="bullet"/>
      <w:lvlText w:val="•"/>
      <w:lvlJc w:val="left"/>
      <w:pPr>
        <w:tabs>
          <w:tab w:val="num" w:pos="2160"/>
        </w:tabs>
        <w:ind w:left="2160" w:hanging="360"/>
      </w:pPr>
      <w:rPr>
        <w:rFonts w:ascii="Arial" w:hAnsi="Arial" w:hint="default"/>
      </w:rPr>
    </w:lvl>
    <w:lvl w:ilvl="3" w:tplc="5B8A5724">
      <w:start w:val="63"/>
      <w:numFmt w:val="bullet"/>
      <w:lvlText w:val="–"/>
      <w:lvlJc w:val="left"/>
      <w:pPr>
        <w:tabs>
          <w:tab w:val="num" w:pos="2880"/>
        </w:tabs>
        <w:ind w:left="2880" w:hanging="360"/>
      </w:pPr>
      <w:rPr>
        <w:rFonts w:ascii="Arial" w:hAnsi="Arial" w:hint="default"/>
      </w:rPr>
    </w:lvl>
    <w:lvl w:ilvl="4" w:tplc="88BC0BCE">
      <w:start w:val="63"/>
      <w:numFmt w:val="bullet"/>
      <w:lvlText w:val="»"/>
      <w:lvlJc w:val="left"/>
      <w:pPr>
        <w:tabs>
          <w:tab w:val="num" w:pos="3600"/>
        </w:tabs>
        <w:ind w:left="3600" w:hanging="360"/>
      </w:pPr>
      <w:rPr>
        <w:rFonts w:ascii="Arial" w:hAnsi="Arial" w:hint="default"/>
      </w:rPr>
    </w:lvl>
    <w:lvl w:ilvl="5" w:tplc="513AA6BC" w:tentative="1">
      <w:start w:val="1"/>
      <w:numFmt w:val="bullet"/>
      <w:lvlText w:val="•"/>
      <w:lvlJc w:val="left"/>
      <w:pPr>
        <w:tabs>
          <w:tab w:val="num" w:pos="4320"/>
        </w:tabs>
        <w:ind w:left="4320" w:hanging="360"/>
      </w:pPr>
      <w:rPr>
        <w:rFonts w:ascii="Arial" w:hAnsi="Arial" w:hint="default"/>
      </w:rPr>
    </w:lvl>
    <w:lvl w:ilvl="6" w:tplc="15D619BE" w:tentative="1">
      <w:start w:val="1"/>
      <w:numFmt w:val="bullet"/>
      <w:lvlText w:val="•"/>
      <w:lvlJc w:val="left"/>
      <w:pPr>
        <w:tabs>
          <w:tab w:val="num" w:pos="5040"/>
        </w:tabs>
        <w:ind w:left="5040" w:hanging="360"/>
      </w:pPr>
      <w:rPr>
        <w:rFonts w:ascii="Arial" w:hAnsi="Arial" w:hint="default"/>
      </w:rPr>
    </w:lvl>
    <w:lvl w:ilvl="7" w:tplc="0C36C572" w:tentative="1">
      <w:start w:val="1"/>
      <w:numFmt w:val="bullet"/>
      <w:lvlText w:val="•"/>
      <w:lvlJc w:val="left"/>
      <w:pPr>
        <w:tabs>
          <w:tab w:val="num" w:pos="5760"/>
        </w:tabs>
        <w:ind w:left="5760" w:hanging="360"/>
      </w:pPr>
      <w:rPr>
        <w:rFonts w:ascii="Arial" w:hAnsi="Arial" w:hint="default"/>
      </w:rPr>
    </w:lvl>
    <w:lvl w:ilvl="8" w:tplc="614065FC" w:tentative="1">
      <w:start w:val="1"/>
      <w:numFmt w:val="bullet"/>
      <w:lvlText w:val="•"/>
      <w:lvlJc w:val="left"/>
      <w:pPr>
        <w:tabs>
          <w:tab w:val="num" w:pos="6480"/>
        </w:tabs>
        <w:ind w:left="6480" w:hanging="360"/>
      </w:pPr>
      <w:rPr>
        <w:rFonts w:ascii="Arial" w:hAnsi="Arial"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3637685"/>
    <w:multiLevelType w:val="hybridMultilevel"/>
    <w:tmpl w:val="38F0DCD4"/>
    <w:lvl w:ilvl="0" w:tplc="FCEC7C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271115"/>
    <w:multiLevelType w:val="hybridMultilevel"/>
    <w:tmpl w:val="EB0E128E"/>
    <w:lvl w:ilvl="0" w:tplc="3DCE66E4">
      <w:start w:val="1"/>
      <w:numFmt w:val="bullet"/>
      <w:lvlText w:val="•"/>
      <w:lvlJc w:val="left"/>
      <w:pPr>
        <w:tabs>
          <w:tab w:val="num" w:pos="720"/>
        </w:tabs>
        <w:ind w:left="720" w:hanging="360"/>
      </w:pPr>
      <w:rPr>
        <w:rFonts w:ascii="Arial" w:hAnsi="Arial" w:hint="default"/>
      </w:rPr>
    </w:lvl>
    <w:lvl w:ilvl="1" w:tplc="CCAC625A">
      <w:start w:val="63"/>
      <w:numFmt w:val="bullet"/>
      <w:lvlText w:val="–"/>
      <w:lvlJc w:val="left"/>
      <w:pPr>
        <w:tabs>
          <w:tab w:val="num" w:pos="1440"/>
        </w:tabs>
        <w:ind w:left="1440" w:hanging="360"/>
      </w:pPr>
      <w:rPr>
        <w:rFonts w:ascii="Arial" w:hAnsi="Arial" w:hint="default"/>
      </w:rPr>
    </w:lvl>
    <w:lvl w:ilvl="2" w:tplc="98684BEE" w:tentative="1">
      <w:start w:val="1"/>
      <w:numFmt w:val="bullet"/>
      <w:lvlText w:val="•"/>
      <w:lvlJc w:val="left"/>
      <w:pPr>
        <w:tabs>
          <w:tab w:val="num" w:pos="2160"/>
        </w:tabs>
        <w:ind w:left="2160" w:hanging="360"/>
      </w:pPr>
      <w:rPr>
        <w:rFonts w:ascii="Arial" w:hAnsi="Arial" w:hint="default"/>
      </w:rPr>
    </w:lvl>
    <w:lvl w:ilvl="3" w:tplc="5DA862C4" w:tentative="1">
      <w:start w:val="1"/>
      <w:numFmt w:val="bullet"/>
      <w:lvlText w:val="•"/>
      <w:lvlJc w:val="left"/>
      <w:pPr>
        <w:tabs>
          <w:tab w:val="num" w:pos="2880"/>
        </w:tabs>
        <w:ind w:left="2880" w:hanging="360"/>
      </w:pPr>
      <w:rPr>
        <w:rFonts w:ascii="Arial" w:hAnsi="Arial" w:hint="default"/>
      </w:rPr>
    </w:lvl>
    <w:lvl w:ilvl="4" w:tplc="761EBA18" w:tentative="1">
      <w:start w:val="1"/>
      <w:numFmt w:val="bullet"/>
      <w:lvlText w:val="•"/>
      <w:lvlJc w:val="left"/>
      <w:pPr>
        <w:tabs>
          <w:tab w:val="num" w:pos="3600"/>
        </w:tabs>
        <w:ind w:left="3600" w:hanging="360"/>
      </w:pPr>
      <w:rPr>
        <w:rFonts w:ascii="Arial" w:hAnsi="Arial" w:hint="default"/>
      </w:rPr>
    </w:lvl>
    <w:lvl w:ilvl="5" w:tplc="9F18018C" w:tentative="1">
      <w:start w:val="1"/>
      <w:numFmt w:val="bullet"/>
      <w:lvlText w:val="•"/>
      <w:lvlJc w:val="left"/>
      <w:pPr>
        <w:tabs>
          <w:tab w:val="num" w:pos="4320"/>
        </w:tabs>
        <w:ind w:left="4320" w:hanging="360"/>
      </w:pPr>
      <w:rPr>
        <w:rFonts w:ascii="Arial" w:hAnsi="Arial" w:hint="default"/>
      </w:rPr>
    </w:lvl>
    <w:lvl w:ilvl="6" w:tplc="AFC6D650" w:tentative="1">
      <w:start w:val="1"/>
      <w:numFmt w:val="bullet"/>
      <w:lvlText w:val="•"/>
      <w:lvlJc w:val="left"/>
      <w:pPr>
        <w:tabs>
          <w:tab w:val="num" w:pos="5040"/>
        </w:tabs>
        <w:ind w:left="5040" w:hanging="360"/>
      </w:pPr>
      <w:rPr>
        <w:rFonts w:ascii="Arial" w:hAnsi="Arial" w:hint="default"/>
      </w:rPr>
    </w:lvl>
    <w:lvl w:ilvl="7" w:tplc="562C5268" w:tentative="1">
      <w:start w:val="1"/>
      <w:numFmt w:val="bullet"/>
      <w:lvlText w:val="•"/>
      <w:lvlJc w:val="left"/>
      <w:pPr>
        <w:tabs>
          <w:tab w:val="num" w:pos="5760"/>
        </w:tabs>
        <w:ind w:left="5760" w:hanging="360"/>
      </w:pPr>
      <w:rPr>
        <w:rFonts w:ascii="Arial" w:hAnsi="Arial" w:hint="default"/>
      </w:rPr>
    </w:lvl>
    <w:lvl w:ilvl="8" w:tplc="F6C69FE0" w:tentative="1">
      <w:start w:val="1"/>
      <w:numFmt w:val="bullet"/>
      <w:lvlText w:val="•"/>
      <w:lvlJc w:val="left"/>
      <w:pPr>
        <w:tabs>
          <w:tab w:val="num" w:pos="6480"/>
        </w:tabs>
        <w:ind w:left="6480" w:hanging="360"/>
      </w:pPr>
      <w:rPr>
        <w:rFonts w:ascii="Arial" w:hAnsi="Arial" w:hint="default"/>
      </w:rPr>
    </w:lvl>
  </w:abstractNum>
  <w:abstractNum w:abstractNumId="7">
    <w:nsid w:val="1D6676D1"/>
    <w:multiLevelType w:val="hybridMultilevel"/>
    <w:tmpl w:val="F28A2124"/>
    <w:lvl w:ilvl="0" w:tplc="BCD022CA">
      <w:start w:val="1"/>
      <w:numFmt w:val="bullet"/>
      <w:lvlText w:val="•"/>
      <w:lvlJc w:val="left"/>
      <w:pPr>
        <w:tabs>
          <w:tab w:val="num" w:pos="720"/>
        </w:tabs>
        <w:ind w:left="720" w:hanging="360"/>
      </w:pPr>
      <w:rPr>
        <w:rFonts w:ascii="Arial" w:hAnsi="Arial" w:hint="default"/>
      </w:rPr>
    </w:lvl>
    <w:lvl w:ilvl="1" w:tplc="EB6C1A74">
      <w:start w:val="63"/>
      <w:numFmt w:val="bullet"/>
      <w:lvlText w:val="–"/>
      <w:lvlJc w:val="left"/>
      <w:pPr>
        <w:tabs>
          <w:tab w:val="num" w:pos="1440"/>
        </w:tabs>
        <w:ind w:left="1440" w:hanging="360"/>
      </w:pPr>
      <w:rPr>
        <w:rFonts w:ascii="Arial" w:hAnsi="Arial" w:hint="default"/>
      </w:rPr>
    </w:lvl>
    <w:lvl w:ilvl="2" w:tplc="239EAF42" w:tentative="1">
      <w:start w:val="1"/>
      <w:numFmt w:val="bullet"/>
      <w:lvlText w:val="•"/>
      <w:lvlJc w:val="left"/>
      <w:pPr>
        <w:tabs>
          <w:tab w:val="num" w:pos="2160"/>
        </w:tabs>
        <w:ind w:left="2160" w:hanging="360"/>
      </w:pPr>
      <w:rPr>
        <w:rFonts w:ascii="Arial" w:hAnsi="Arial" w:hint="default"/>
      </w:rPr>
    </w:lvl>
    <w:lvl w:ilvl="3" w:tplc="02780658" w:tentative="1">
      <w:start w:val="1"/>
      <w:numFmt w:val="bullet"/>
      <w:lvlText w:val="•"/>
      <w:lvlJc w:val="left"/>
      <w:pPr>
        <w:tabs>
          <w:tab w:val="num" w:pos="2880"/>
        </w:tabs>
        <w:ind w:left="2880" w:hanging="360"/>
      </w:pPr>
      <w:rPr>
        <w:rFonts w:ascii="Arial" w:hAnsi="Arial" w:hint="default"/>
      </w:rPr>
    </w:lvl>
    <w:lvl w:ilvl="4" w:tplc="C4BE57F4" w:tentative="1">
      <w:start w:val="1"/>
      <w:numFmt w:val="bullet"/>
      <w:lvlText w:val="•"/>
      <w:lvlJc w:val="left"/>
      <w:pPr>
        <w:tabs>
          <w:tab w:val="num" w:pos="3600"/>
        </w:tabs>
        <w:ind w:left="3600" w:hanging="360"/>
      </w:pPr>
      <w:rPr>
        <w:rFonts w:ascii="Arial" w:hAnsi="Arial" w:hint="default"/>
      </w:rPr>
    </w:lvl>
    <w:lvl w:ilvl="5" w:tplc="8E249EB6" w:tentative="1">
      <w:start w:val="1"/>
      <w:numFmt w:val="bullet"/>
      <w:lvlText w:val="•"/>
      <w:lvlJc w:val="left"/>
      <w:pPr>
        <w:tabs>
          <w:tab w:val="num" w:pos="4320"/>
        </w:tabs>
        <w:ind w:left="4320" w:hanging="360"/>
      </w:pPr>
      <w:rPr>
        <w:rFonts w:ascii="Arial" w:hAnsi="Arial" w:hint="default"/>
      </w:rPr>
    </w:lvl>
    <w:lvl w:ilvl="6" w:tplc="50E01DFE" w:tentative="1">
      <w:start w:val="1"/>
      <w:numFmt w:val="bullet"/>
      <w:lvlText w:val="•"/>
      <w:lvlJc w:val="left"/>
      <w:pPr>
        <w:tabs>
          <w:tab w:val="num" w:pos="5040"/>
        </w:tabs>
        <w:ind w:left="5040" w:hanging="360"/>
      </w:pPr>
      <w:rPr>
        <w:rFonts w:ascii="Arial" w:hAnsi="Arial" w:hint="default"/>
      </w:rPr>
    </w:lvl>
    <w:lvl w:ilvl="7" w:tplc="14B81DC2" w:tentative="1">
      <w:start w:val="1"/>
      <w:numFmt w:val="bullet"/>
      <w:lvlText w:val="•"/>
      <w:lvlJc w:val="left"/>
      <w:pPr>
        <w:tabs>
          <w:tab w:val="num" w:pos="5760"/>
        </w:tabs>
        <w:ind w:left="5760" w:hanging="360"/>
      </w:pPr>
      <w:rPr>
        <w:rFonts w:ascii="Arial" w:hAnsi="Arial" w:hint="default"/>
      </w:rPr>
    </w:lvl>
    <w:lvl w:ilvl="8" w:tplc="188E563C" w:tentative="1">
      <w:start w:val="1"/>
      <w:numFmt w:val="bullet"/>
      <w:lvlText w:val="•"/>
      <w:lvlJc w:val="left"/>
      <w:pPr>
        <w:tabs>
          <w:tab w:val="num" w:pos="6480"/>
        </w:tabs>
        <w:ind w:left="6480" w:hanging="360"/>
      </w:pPr>
      <w:rPr>
        <w:rFonts w:ascii="Arial" w:hAnsi="Arial" w:hint="default"/>
      </w:rPr>
    </w:lvl>
  </w:abstractNum>
  <w:abstractNum w:abstractNumId="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0">
    <w:nsid w:val="3380628A"/>
    <w:multiLevelType w:val="hybridMultilevel"/>
    <w:tmpl w:val="044C5B4A"/>
    <w:lvl w:ilvl="0" w:tplc="84788ADA">
      <w:start w:val="1"/>
      <w:numFmt w:val="bullet"/>
      <w:lvlText w:val="•"/>
      <w:lvlJc w:val="left"/>
      <w:pPr>
        <w:tabs>
          <w:tab w:val="num" w:pos="720"/>
        </w:tabs>
        <w:ind w:left="720" w:hanging="360"/>
      </w:pPr>
      <w:rPr>
        <w:rFonts w:ascii="Arial" w:hAnsi="Arial" w:hint="default"/>
      </w:rPr>
    </w:lvl>
    <w:lvl w:ilvl="1" w:tplc="38928A26" w:tentative="1">
      <w:start w:val="1"/>
      <w:numFmt w:val="bullet"/>
      <w:lvlText w:val="•"/>
      <w:lvlJc w:val="left"/>
      <w:pPr>
        <w:tabs>
          <w:tab w:val="num" w:pos="1440"/>
        </w:tabs>
        <w:ind w:left="1440" w:hanging="360"/>
      </w:pPr>
      <w:rPr>
        <w:rFonts w:ascii="Arial" w:hAnsi="Arial" w:hint="default"/>
      </w:rPr>
    </w:lvl>
    <w:lvl w:ilvl="2" w:tplc="3F168D6C" w:tentative="1">
      <w:start w:val="1"/>
      <w:numFmt w:val="bullet"/>
      <w:lvlText w:val="•"/>
      <w:lvlJc w:val="left"/>
      <w:pPr>
        <w:tabs>
          <w:tab w:val="num" w:pos="2160"/>
        </w:tabs>
        <w:ind w:left="2160" w:hanging="360"/>
      </w:pPr>
      <w:rPr>
        <w:rFonts w:ascii="Arial" w:hAnsi="Arial" w:hint="default"/>
      </w:rPr>
    </w:lvl>
    <w:lvl w:ilvl="3" w:tplc="DFF67082" w:tentative="1">
      <w:start w:val="1"/>
      <w:numFmt w:val="bullet"/>
      <w:lvlText w:val="•"/>
      <w:lvlJc w:val="left"/>
      <w:pPr>
        <w:tabs>
          <w:tab w:val="num" w:pos="2880"/>
        </w:tabs>
        <w:ind w:left="2880" w:hanging="360"/>
      </w:pPr>
      <w:rPr>
        <w:rFonts w:ascii="Arial" w:hAnsi="Arial" w:hint="default"/>
      </w:rPr>
    </w:lvl>
    <w:lvl w:ilvl="4" w:tplc="AC40A5E6" w:tentative="1">
      <w:start w:val="1"/>
      <w:numFmt w:val="bullet"/>
      <w:lvlText w:val="•"/>
      <w:lvlJc w:val="left"/>
      <w:pPr>
        <w:tabs>
          <w:tab w:val="num" w:pos="3600"/>
        </w:tabs>
        <w:ind w:left="3600" w:hanging="360"/>
      </w:pPr>
      <w:rPr>
        <w:rFonts w:ascii="Arial" w:hAnsi="Arial" w:hint="default"/>
      </w:rPr>
    </w:lvl>
    <w:lvl w:ilvl="5" w:tplc="D71A9C62" w:tentative="1">
      <w:start w:val="1"/>
      <w:numFmt w:val="bullet"/>
      <w:lvlText w:val="•"/>
      <w:lvlJc w:val="left"/>
      <w:pPr>
        <w:tabs>
          <w:tab w:val="num" w:pos="4320"/>
        </w:tabs>
        <w:ind w:left="4320" w:hanging="360"/>
      </w:pPr>
      <w:rPr>
        <w:rFonts w:ascii="Arial" w:hAnsi="Arial" w:hint="default"/>
      </w:rPr>
    </w:lvl>
    <w:lvl w:ilvl="6" w:tplc="F20AEA46" w:tentative="1">
      <w:start w:val="1"/>
      <w:numFmt w:val="bullet"/>
      <w:lvlText w:val="•"/>
      <w:lvlJc w:val="left"/>
      <w:pPr>
        <w:tabs>
          <w:tab w:val="num" w:pos="5040"/>
        </w:tabs>
        <w:ind w:left="5040" w:hanging="360"/>
      </w:pPr>
      <w:rPr>
        <w:rFonts w:ascii="Arial" w:hAnsi="Arial" w:hint="default"/>
      </w:rPr>
    </w:lvl>
    <w:lvl w:ilvl="7" w:tplc="3702AC32" w:tentative="1">
      <w:start w:val="1"/>
      <w:numFmt w:val="bullet"/>
      <w:lvlText w:val="•"/>
      <w:lvlJc w:val="left"/>
      <w:pPr>
        <w:tabs>
          <w:tab w:val="num" w:pos="5760"/>
        </w:tabs>
        <w:ind w:left="5760" w:hanging="360"/>
      </w:pPr>
      <w:rPr>
        <w:rFonts w:ascii="Arial" w:hAnsi="Arial" w:hint="default"/>
      </w:rPr>
    </w:lvl>
    <w:lvl w:ilvl="8" w:tplc="88768DEA" w:tentative="1">
      <w:start w:val="1"/>
      <w:numFmt w:val="bullet"/>
      <w:lvlText w:val="•"/>
      <w:lvlJc w:val="left"/>
      <w:pPr>
        <w:tabs>
          <w:tab w:val="num" w:pos="6480"/>
        </w:tabs>
        <w:ind w:left="6480" w:hanging="360"/>
      </w:pPr>
      <w:rPr>
        <w:rFonts w:ascii="Arial" w:hAnsi="Arial" w:hint="default"/>
      </w:rPr>
    </w:lvl>
  </w:abstractNum>
  <w:abstractNum w:abstractNumId="11">
    <w:nsid w:val="3CB116D3"/>
    <w:multiLevelType w:val="hybridMultilevel"/>
    <w:tmpl w:val="A9049840"/>
    <w:lvl w:ilvl="0" w:tplc="48EA857C">
      <w:start w:val="1"/>
      <w:numFmt w:val="bullet"/>
      <w:lvlText w:val="•"/>
      <w:lvlJc w:val="left"/>
      <w:pPr>
        <w:tabs>
          <w:tab w:val="num" w:pos="720"/>
        </w:tabs>
        <w:ind w:left="720" w:hanging="360"/>
      </w:pPr>
      <w:rPr>
        <w:rFonts w:ascii="Arial" w:hAnsi="Arial" w:hint="default"/>
      </w:rPr>
    </w:lvl>
    <w:lvl w:ilvl="1" w:tplc="8B8874FE" w:tentative="1">
      <w:start w:val="1"/>
      <w:numFmt w:val="bullet"/>
      <w:lvlText w:val="•"/>
      <w:lvlJc w:val="left"/>
      <w:pPr>
        <w:tabs>
          <w:tab w:val="num" w:pos="1440"/>
        </w:tabs>
        <w:ind w:left="1440" w:hanging="360"/>
      </w:pPr>
      <w:rPr>
        <w:rFonts w:ascii="Arial" w:hAnsi="Arial" w:hint="default"/>
      </w:rPr>
    </w:lvl>
    <w:lvl w:ilvl="2" w:tplc="8E98CBC2" w:tentative="1">
      <w:start w:val="1"/>
      <w:numFmt w:val="bullet"/>
      <w:lvlText w:val="•"/>
      <w:lvlJc w:val="left"/>
      <w:pPr>
        <w:tabs>
          <w:tab w:val="num" w:pos="2160"/>
        </w:tabs>
        <w:ind w:left="2160" w:hanging="360"/>
      </w:pPr>
      <w:rPr>
        <w:rFonts w:ascii="Arial" w:hAnsi="Arial" w:hint="default"/>
      </w:rPr>
    </w:lvl>
    <w:lvl w:ilvl="3" w:tplc="4B02DF0A" w:tentative="1">
      <w:start w:val="1"/>
      <w:numFmt w:val="bullet"/>
      <w:lvlText w:val="•"/>
      <w:lvlJc w:val="left"/>
      <w:pPr>
        <w:tabs>
          <w:tab w:val="num" w:pos="2880"/>
        </w:tabs>
        <w:ind w:left="2880" w:hanging="360"/>
      </w:pPr>
      <w:rPr>
        <w:rFonts w:ascii="Arial" w:hAnsi="Arial" w:hint="default"/>
      </w:rPr>
    </w:lvl>
    <w:lvl w:ilvl="4" w:tplc="FD041506" w:tentative="1">
      <w:start w:val="1"/>
      <w:numFmt w:val="bullet"/>
      <w:lvlText w:val="•"/>
      <w:lvlJc w:val="left"/>
      <w:pPr>
        <w:tabs>
          <w:tab w:val="num" w:pos="3600"/>
        </w:tabs>
        <w:ind w:left="3600" w:hanging="360"/>
      </w:pPr>
      <w:rPr>
        <w:rFonts w:ascii="Arial" w:hAnsi="Arial" w:hint="default"/>
      </w:rPr>
    </w:lvl>
    <w:lvl w:ilvl="5" w:tplc="C3B8E034" w:tentative="1">
      <w:start w:val="1"/>
      <w:numFmt w:val="bullet"/>
      <w:lvlText w:val="•"/>
      <w:lvlJc w:val="left"/>
      <w:pPr>
        <w:tabs>
          <w:tab w:val="num" w:pos="4320"/>
        </w:tabs>
        <w:ind w:left="4320" w:hanging="360"/>
      </w:pPr>
      <w:rPr>
        <w:rFonts w:ascii="Arial" w:hAnsi="Arial" w:hint="default"/>
      </w:rPr>
    </w:lvl>
    <w:lvl w:ilvl="6" w:tplc="E32E17E4" w:tentative="1">
      <w:start w:val="1"/>
      <w:numFmt w:val="bullet"/>
      <w:lvlText w:val="•"/>
      <w:lvlJc w:val="left"/>
      <w:pPr>
        <w:tabs>
          <w:tab w:val="num" w:pos="5040"/>
        </w:tabs>
        <w:ind w:left="5040" w:hanging="360"/>
      </w:pPr>
      <w:rPr>
        <w:rFonts w:ascii="Arial" w:hAnsi="Arial" w:hint="default"/>
      </w:rPr>
    </w:lvl>
    <w:lvl w:ilvl="7" w:tplc="C472C3C8" w:tentative="1">
      <w:start w:val="1"/>
      <w:numFmt w:val="bullet"/>
      <w:lvlText w:val="•"/>
      <w:lvlJc w:val="left"/>
      <w:pPr>
        <w:tabs>
          <w:tab w:val="num" w:pos="5760"/>
        </w:tabs>
        <w:ind w:left="5760" w:hanging="360"/>
      </w:pPr>
      <w:rPr>
        <w:rFonts w:ascii="Arial" w:hAnsi="Arial" w:hint="default"/>
      </w:rPr>
    </w:lvl>
    <w:lvl w:ilvl="8" w:tplc="650E412A" w:tentative="1">
      <w:start w:val="1"/>
      <w:numFmt w:val="bullet"/>
      <w:lvlText w:val="•"/>
      <w:lvlJc w:val="left"/>
      <w:pPr>
        <w:tabs>
          <w:tab w:val="num" w:pos="6480"/>
        </w:tabs>
        <w:ind w:left="6480" w:hanging="360"/>
      </w:pPr>
      <w:rPr>
        <w:rFonts w:ascii="Arial" w:hAnsi="Arial" w:hint="default"/>
      </w:rPr>
    </w:lvl>
  </w:abstractNum>
  <w:abstractNum w:abstractNumId="12">
    <w:nsid w:val="3E980A31"/>
    <w:multiLevelType w:val="hybridMultilevel"/>
    <w:tmpl w:val="740ECB2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F462D6"/>
    <w:multiLevelType w:val="hybridMultilevel"/>
    <w:tmpl w:val="F3A8228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BB4DB3"/>
    <w:multiLevelType w:val="hybridMultilevel"/>
    <w:tmpl w:val="39806E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E33538"/>
    <w:multiLevelType w:val="hybridMultilevel"/>
    <w:tmpl w:val="8B56FF7C"/>
    <w:lvl w:ilvl="0" w:tplc="7522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7">
    <w:nsid w:val="4FCA3E15"/>
    <w:multiLevelType w:val="hybridMultilevel"/>
    <w:tmpl w:val="D5B41C00"/>
    <w:lvl w:ilvl="0" w:tplc="92A68D8A">
      <w:start w:val="1"/>
      <w:numFmt w:val="bullet"/>
      <w:lvlText w:val="•"/>
      <w:lvlJc w:val="left"/>
      <w:pPr>
        <w:tabs>
          <w:tab w:val="num" w:pos="720"/>
        </w:tabs>
        <w:ind w:left="720" w:hanging="360"/>
      </w:pPr>
      <w:rPr>
        <w:rFonts w:ascii="Arial" w:hAnsi="Arial" w:hint="default"/>
      </w:rPr>
    </w:lvl>
    <w:lvl w:ilvl="1" w:tplc="82B851AE" w:tentative="1">
      <w:start w:val="1"/>
      <w:numFmt w:val="bullet"/>
      <w:lvlText w:val="•"/>
      <w:lvlJc w:val="left"/>
      <w:pPr>
        <w:tabs>
          <w:tab w:val="num" w:pos="1440"/>
        </w:tabs>
        <w:ind w:left="1440" w:hanging="360"/>
      </w:pPr>
      <w:rPr>
        <w:rFonts w:ascii="Arial" w:hAnsi="Arial" w:hint="default"/>
      </w:rPr>
    </w:lvl>
    <w:lvl w:ilvl="2" w:tplc="D5F4836E" w:tentative="1">
      <w:start w:val="1"/>
      <w:numFmt w:val="bullet"/>
      <w:lvlText w:val="•"/>
      <w:lvlJc w:val="left"/>
      <w:pPr>
        <w:tabs>
          <w:tab w:val="num" w:pos="2160"/>
        </w:tabs>
        <w:ind w:left="2160" w:hanging="360"/>
      </w:pPr>
      <w:rPr>
        <w:rFonts w:ascii="Arial" w:hAnsi="Arial" w:hint="default"/>
      </w:rPr>
    </w:lvl>
    <w:lvl w:ilvl="3" w:tplc="AA6EAEE8" w:tentative="1">
      <w:start w:val="1"/>
      <w:numFmt w:val="bullet"/>
      <w:lvlText w:val="•"/>
      <w:lvlJc w:val="left"/>
      <w:pPr>
        <w:tabs>
          <w:tab w:val="num" w:pos="2880"/>
        </w:tabs>
        <w:ind w:left="2880" w:hanging="360"/>
      </w:pPr>
      <w:rPr>
        <w:rFonts w:ascii="Arial" w:hAnsi="Arial" w:hint="default"/>
      </w:rPr>
    </w:lvl>
    <w:lvl w:ilvl="4" w:tplc="66CE87F4" w:tentative="1">
      <w:start w:val="1"/>
      <w:numFmt w:val="bullet"/>
      <w:lvlText w:val="•"/>
      <w:lvlJc w:val="left"/>
      <w:pPr>
        <w:tabs>
          <w:tab w:val="num" w:pos="3600"/>
        </w:tabs>
        <w:ind w:left="3600" w:hanging="360"/>
      </w:pPr>
      <w:rPr>
        <w:rFonts w:ascii="Arial" w:hAnsi="Arial" w:hint="default"/>
      </w:rPr>
    </w:lvl>
    <w:lvl w:ilvl="5" w:tplc="36027632" w:tentative="1">
      <w:start w:val="1"/>
      <w:numFmt w:val="bullet"/>
      <w:lvlText w:val="•"/>
      <w:lvlJc w:val="left"/>
      <w:pPr>
        <w:tabs>
          <w:tab w:val="num" w:pos="4320"/>
        </w:tabs>
        <w:ind w:left="4320" w:hanging="360"/>
      </w:pPr>
      <w:rPr>
        <w:rFonts w:ascii="Arial" w:hAnsi="Arial" w:hint="default"/>
      </w:rPr>
    </w:lvl>
    <w:lvl w:ilvl="6" w:tplc="F394FF16" w:tentative="1">
      <w:start w:val="1"/>
      <w:numFmt w:val="bullet"/>
      <w:lvlText w:val="•"/>
      <w:lvlJc w:val="left"/>
      <w:pPr>
        <w:tabs>
          <w:tab w:val="num" w:pos="5040"/>
        </w:tabs>
        <w:ind w:left="5040" w:hanging="360"/>
      </w:pPr>
      <w:rPr>
        <w:rFonts w:ascii="Arial" w:hAnsi="Arial" w:hint="default"/>
      </w:rPr>
    </w:lvl>
    <w:lvl w:ilvl="7" w:tplc="95E87904" w:tentative="1">
      <w:start w:val="1"/>
      <w:numFmt w:val="bullet"/>
      <w:lvlText w:val="•"/>
      <w:lvlJc w:val="left"/>
      <w:pPr>
        <w:tabs>
          <w:tab w:val="num" w:pos="5760"/>
        </w:tabs>
        <w:ind w:left="5760" w:hanging="360"/>
      </w:pPr>
      <w:rPr>
        <w:rFonts w:ascii="Arial" w:hAnsi="Arial" w:hint="default"/>
      </w:rPr>
    </w:lvl>
    <w:lvl w:ilvl="8" w:tplc="F5380BC6" w:tentative="1">
      <w:start w:val="1"/>
      <w:numFmt w:val="bullet"/>
      <w:lvlText w:val="•"/>
      <w:lvlJc w:val="left"/>
      <w:pPr>
        <w:tabs>
          <w:tab w:val="num" w:pos="6480"/>
        </w:tabs>
        <w:ind w:left="6480" w:hanging="360"/>
      </w:pPr>
      <w:rPr>
        <w:rFonts w:ascii="Arial" w:hAnsi="Arial" w:hint="default"/>
      </w:rPr>
    </w:lvl>
  </w:abstractNum>
  <w:abstractNum w:abstractNumId="18">
    <w:nsid w:val="52303640"/>
    <w:multiLevelType w:val="hybridMultilevel"/>
    <w:tmpl w:val="C84CCA06"/>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565D0699"/>
    <w:multiLevelType w:val="multilevel"/>
    <w:tmpl w:val="67186554"/>
    <w:lvl w:ilvl="0">
      <w:start w:val="3"/>
      <w:numFmt w:val="decimal"/>
      <w:lvlText w:val="%1."/>
      <w:lvlJc w:val="left"/>
      <w:pPr>
        <w:tabs>
          <w:tab w:val="num" w:pos="425"/>
        </w:tabs>
        <w:ind w:left="425" w:hanging="425"/>
      </w:pPr>
      <w:rPr>
        <w:rFonts w:hint="eastAsia"/>
      </w:rPr>
    </w:lvl>
    <w:lvl w:ilvl="1">
      <w:start w:val="3"/>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62A35E4D"/>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6B1543C6"/>
    <w:multiLevelType w:val="hybridMultilevel"/>
    <w:tmpl w:val="7BA25116"/>
    <w:lvl w:ilvl="0" w:tplc="3556A734">
      <w:start w:val="1"/>
      <w:numFmt w:val="bullet"/>
      <w:lvlText w:val="•"/>
      <w:lvlJc w:val="left"/>
      <w:pPr>
        <w:tabs>
          <w:tab w:val="num" w:pos="720"/>
        </w:tabs>
        <w:ind w:left="720" w:hanging="360"/>
      </w:pPr>
      <w:rPr>
        <w:rFonts w:ascii="Arial" w:hAnsi="Arial" w:hint="default"/>
      </w:rPr>
    </w:lvl>
    <w:lvl w:ilvl="1" w:tplc="08D07476">
      <w:start w:val="63"/>
      <w:numFmt w:val="bullet"/>
      <w:lvlText w:val="–"/>
      <w:lvlJc w:val="left"/>
      <w:pPr>
        <w:tabs>
          <w:tab w:val="num" w:pos="1440"/>
        </w:tabs>
        <w:ind w:left="1440" w:hanging="360"/>
      </w:pPr>
      <w:rPr>
        <w:rFonts w:ascii="Arial" w:hAnsi="Arial" w:hint="default"/>
      </w:rPr>
    </w:lvl>
    <w:lvl w:ilvl="2" w:tplc="36FA80A8">
      <w:start w:val="1"/>
      <w:numFmt w:val="bullet"/>
      <w:lvlText w:val="•"/>
      <w:lvlJc w:val="left"/>
      <w:pPr>
        <w:tabs>
          <w:tab w:val="num" w:pos="2160"/>
        </w:tabs>
        <w:ind w:left="2160" w:hanging="360"/>
      </w:pPr>
      <w:rPr>
        <w:rFonts w:ascii="Arial" w:hAnsi="Arial" w:hint="default"/>
      </w:rPr>
    </w:lvl>
    <w:lvl w:ilvl="3" w:tplc="4460925E" w:tentative="1">
      <w:start w:val="1"/>
      <w:numFmt w:val="bullet"/>
      <w:lvlText w:val="•"/>
      <w:lvlJc w:val="left"/>
      <w:pPr>
        <w:tabs>
          <w:tab w:val="num" w:pos="2880"/>
        </w:tabs>
        <w:ind w:left="2880" w:hanging="360"/>
      </w:pPr>
      <w:rPr>
        <w:rFonts w:ascii="Arial" w:hAnsi="Arial" w:hint="default"/>
      </w:rPr>
    </w:lvl>
    <w:lvl w:ilvl="4" w:tplc="835E2AC8" w:tentative="1">
      <w:start w:val="1"/>
      <w:numFmt w:val="bullet"/>
      <w:lvlText w:val="•"/>
      <w:lvlJc w:val="left"/>
      <w:pPr>
        <w:tabs>
          <w:tab w:val="num" w:pos="3600"/>
        </w:tabs>
        <w:ind w:left="3600" w:hanging="360"/>
      </w:pPr>
      <w:rPr>
        <w:rFonts w:ascii="Arial" w:hAnsi="Arial" w:hint="default"/>
      </w:rPr>
    </w:lvl>
    <w:lvl w:ilvl="5" w:tplc="C780EEC4" w:tentative="1">
      <w:start w:val="1"/>
      <w:numFmt w:val="bullet"/>
      <w:lvlText w:val="•"/>
      <w:lvlJc w:val="left"/>
      <w:pPr>
        <w:tabs>
          <w:tab w:val="num" w:pos="4320"/>
        </w:tabs>
        <w:ind w:left="4320" w:hanging="360"/>
      </w:pPr>
      <w:rPr>
        <w:rFonts w:ascii="Arial" w:hAnsi="Arial" w:hint="default"/>
      </w:rPr>
    </w:lvl>
    <w:lvl w:ilvl="6" w:tplc="5568CB78" w:tentative="1">
      <w:start w:val="1"/>
      <w:numFmt w:val="bullet"/>
      <w:lvlText w:val="•"/>
      <w:lvlJc w:val="left"/>
      <w:pPr>
        <w:tabs>
          <w:tab w:val="num" w:pos="5040"/>
        </w:tabs>
        <w:ind w:left="5040" w:hanging="360"/>
      </w:pPr>
      <w:rPr>
        <w:rFonts w:ascii="Arial" w:hAnsi="Arial" w:hint="default"/>
      </w:rPr>
    </w:lvl>
    <w:lvl w:ilvl="7" w:tplc="45CE8032" w:tentative="1">
      <w:start w:val="1"/>
      <w:numFmt w:val="bullet"/>
      <w:lvlText w:val="•"/>
      <w:lvlJc w:val="left"/>
      <w:pPr>
        <w:tabs>
          <w:tab w:val="num" w:pos="5760"/>
        </w:tabs>
        <w:ind w:left="5760" w:hanging="360"/>
      </w:pPr>
      <w:rPr>
        <w:rFonts w:ascii="Arial" w:hAnsi="Arial" w:hint="default"/>
      </w:rPr>
    </w:lvl>
    <w:lvl w:ilvl="8" w:tplc="7E40E1F2" w:tentative="1">
      <w:start w:val="1"/>
      <w:numFmt w:val="bullet"/>
      <w:lvlText w:val="•"/>
      <w:lvlJc w:val="left"/>
      <w:pPr>
        <w:tabs>
          <w:tab w:val="num" w:pos="6480"/>
        </w:tabs>
        <w:ind w:left="6480" w:hanging="360"/>
      </w:pPr>
      <w:rPr>
        <w:rFonts w:ascii="Arial" w:hAnsi="Arial"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0"/>
  </w:num>
  <w:num w:numId="3">
    <w:abstractNumId w:val="24"/>
  </w:num>
  <w:num w:numId="4">
    <w:abstractNumId w:val="4"/>
  </w:num>
  <w:num w:numId="5">
    <w:abstractNumId w:val="22"/>
  </w:num>
  <w:num w:numId="6">
    <w:abstractNumId w:val="8"/>
  </w:num>
  <w:num w:numId="7">
    <w:abstractNumId w:val="19"/>
  </w:num>
  <w:num w:numId="8">
    <w:abstractNumId w:val="15"/>
  </w:num>
  <w:num w:numId="9">
    <w:abstractNumId w:val="1"/>
  </w:num>
  <w:num w:numId="10">
    <w:abstractNumId w:val="20"/>
  </w:num>
  <w:num w:numId="11">
    <w:abstractNumId w:val="5"/>
  </w:num>
  <w:num w:numId="12">
    <w:abstractNumId w:val="16"/>
  </w:num>
  <w:num w:numId="13">
    <w:abstractNumId w:val="9"/>
  </w:num>
  <w:num w:numId="14">
    <w:abstractNumId w:val="12"/>
  </w:num>
  <w:num w:numId="15">
    <w:abstractNumId w:val="13"/>
  </w:num>
  <w:num w:numId="16">
    <w:abstractNumId w:val="14"/>
  </w:num>
  <w:num w:numId="17">
    <w:abstractNumId w:val="18"/>
  </w:num>
  <w:num w:numId="18">
    <w:abstractNumId w:val="3"/>
  </w:num>
  <w:num w:numId="19">
    <w:abstractNumId w:val="17"/>
  </w:num>
  <w:num w:numId="20">
    <w:abstractNumId w:val="2"/>
  </w:num>
  <w:num w:numId="21">
    <w:abstractNumId w:val="10"/>
  </w:num>
  <w:num w:numId="22">
    <w:abstractNumId w:val="21"/>
  </w:num>
  <w:num w:numId="23">
    <w:abstractNumId w:val="23"/>
  </w:num>
  <w:num w:numId="24">
    <w:abstractNumId w:val="7"/>
  </w:num>
  <w:num w:numId="25">
    <w:abstractNumId w:val="11"/>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9DC"/>
    <w:rsid w:val="0000279E"/>
    <w:rsid w:val="00004DD6"/>
    <w:rsid w:val="00005B9C"/>
    <w:rsid w:val="00005E65"/>
    <w:rsid w:val="000100CC"/>
    <w:rsid w:val="000102F8"/>
    <w:rsid w:val="00014788"/>
    <w:rsid w:val="000147DC"/>
    <w:rsid w:val="00017714"/>
    <w:rsid w:val="00017F21"/>
    <w:rsid w:val="000209A9"/>
    <w:rsid w:val="00021588"/>
    <w:rsid w:val="00021A80"/>
    <w:rsid w:val="00021D56"/>
    <w:rsid w:val="00022B39"/>
    <w:rsid w:val="00022CB4"/>
    <w:rsid w:val="00022DD6"/>
    <w:rsid w:val="0002462D"/>
    <w:rsid w:val="00024A15"/>
    <w:rsid w:val="00026E7B"/>
    <w:rsid w:val="0002717D"/>
    <w:rsid w:val="000273FD"/>
    <w:rsid w:val="0002784B"/>
    <w:rsid w:val="00032856"/>
    <w:rsid w:val="00033B21"/>
    <w:rsid w:val="00034348"/>
    <w:rsid w:val="000377D9"/>
    <w:rsid w:val="00041699"/>
    <w:rsid w:val="00042521"/>
    <w:rsid w:val="00045A94"/>
    <w:rsid w:val="00046452"/>
    <w:rsid w:val="0005100C"/>
    <w:rsid w:val="0005168C"/>
    <w:rsid w:val="00051C62"/>
    <w:rsid w:val="00052402"/>
    <w:rsid w:val="000528A1"/>
    <w:rsid w:val="00055ACB"/>
    <w:rsid w:val="00055FCB"/>
    <w:rsid w:val="000613A9"/>
    <w:rsid w:val="00062D7E"/>
    <w:rsid w:val="000636C4"/>
    <w:rsid w:val="000662F0"/>
    <w:rsid w:val="000676F6"/>
    <w:rsid w:val="00072564"/>
    <w:rsid w:val="00072B01"/>
    <w:rsid w:val="00074060"/>
    <w:rsid w:val="00076E96"/>
    <w:rsid w:val="0007708D"/>
    <w:rsid w:val="000773F6"/>
    <w:rsid w:val="00080053"/>
    <w:rsid w:val="00080662"/>
    <w:rsid w:val="00083302"/>
    <w:rsid w:val="000855F8"/>
    <w:rsid w:val="000860A9"/>
    <w:rsid w:val="000950EA"/>
    <w:rsid w:val="00095318"/>
    <w:rsid w:val="000958B4"/>
    <w:rsid w:val="00095BBB"/>
    <w:rsid w:val="000962B6"/>
    <w:rsid w:val="0009698E"/>
    <w:rsid w:val="000969C4"/>
    <w:rsid w:val="00096DAC"/>
    <w:rsid w:val="00097377"/>
    <w:rsid w:val="000A05CD"/>
    <w:rsid w:val="000A18B2"/>
    <w:rsid w:val="000A47C1"/>
    <w:rsid w:val="000A66F1"/>
    <w:rsid w:val="000A72D6"/>
    <w:rsid w:val="000A7506"/>
    <w:rsid w:val="000B01B5"/>
    <w:rsid w:val="000B0B02"/>
    <w:rsid w:val="000B31CF"/>
    <w:rsid w:val="000B3979"/>
    <w:rsid w:val="000B3BAB"/>
    <w:rsid w:val="000B3BE9"/>
    <w:rsid w:val="000B3E4E"/>
    <w:rsid w:val="000B5BB8"/>
    <w:rsid w:val="000B61D1"/>
    <w:rsid w:val="000B7688"/>
    <w:rsid w:val="000C2C02"/>
    <w:rsid w:val="000C43D9"/>
    <w:rsid w:val="000C481B"/>
    <w:rsid w:val="000C4D4A"/>
    <w:rsid w:val="000C5280"/>
    <w:rsid w:val="000C6C83"/>
    <w:rsid w:val="000D1E4C"/>
    <w:rsid w:val="000D403B"/>
    <w:rsid w:val="000D4D36"/>
    <w:rsid w:val="000D515E"/>
    <w:rsid w:val="000D563E"/>
    <w:rsid w:val="000D57AB"/>
    <w:rsid w:val="000D5CAF"/>
    <w:rsid w:val="000D6F08"/>
    <w:rsid w:val="000D7313"/>
    <w:rsid w:val="000D7F0F"/>
    <w:rsid w:val="000E0461"/>
    <w:rsid w:val="000E0540"/>
    <w:rsid w:val="000E0EE4"/>
    <w:rsid w:val="000E22D3"/>
    <w:rsid w:val="000E2C79"/>
    <w:rsid w:val="000E2EA4"/>
    <w:rsid w:val="000E3E99"/>
    <w:rsid w:val="000E5C66"/>
    <w:rsid w:val="000E5FCE"/>
    <w:rsid w:val="000E7848"/>
    <w:rsid w:val="000F0109"/>
    <w:rsid w:val="000F0BB4"/>
    <w:rsid w:val="000F0DB3"/>
    <w:rsid w:val="000F1277"/>
    <w:rsid w:val="000F20E6"/>
    <w:rsid w:val="000F5307"/>
    <w:rsid w:val="000F6834"/>
    <w:rsid w:val="000F6CFA"/>
    <w:rsid w:val="000F6D45"/>
    <w:rsid w:val="000F740C"/>
    <w:rsid w:val="000F7E9E"/>
    <w:rsid w:val="0010065D"/>
    <w:rsid w:val="00100712"/>
    <w:rsid w:val="00103D3A"/>
    <w:rsid w:val="00104824"/>
    <w:rsid w:val="00104ADC"/>
    <w:rsid w:val="001051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1541"/>
    <w:rsid w:val="00122DC7"/>
    <w:rsid w:val="00123586"/>
    <w:rsid w:val="00123FA2"/>
    <w:rsid w:val="001256FC"/>
    <w:rsid w:val="00125BCA"/>
    <w:rsid w:val="00126D2B"/>
    <w:rsid w:val="00127E57"/>
    <w:rsid w:val="0013025F"/>
    <w:rsid w:val="00130B4A"/>
    <w:rsid w:val="001316E0"/>
    <w:rsid w:val="00131A4A"/>
    <w:rsid w:val="001321DB"/>
    <w:rsid w:val="00134D51"/>
    <w:rsid w:val="00135F79"/>
    <w:rsid w:val="00141CC8"/>
    <w:rsid w:val="00142059"/>
    <w:rsid w:val="001428AB"/>
    <w:rsid w:val="0014365A"/>
    <w:rsid w:val="001460A1"/>
    <w:rsid w:val="00147AA7"/>
    <w:rsid w:val="00147E5D"/>
    <w:rsid w:val="00147F65"/>
    <w:rsid w:val="00150A25"/>
    <w:rsid w:val="00151437"/>
    <w:rsid w:val="00151F2C"/>
    <w:rsid w:val="00153003"/>
    <w:rsid w:val="001530FD"/>
    <w:rsid w:val="0015335C"/>
    <w:rsid w:val="001537C6"/>
    <w:rsid w:val="00153D47"/>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5D54"/>
    <w:rsid w:val="00180D5D"/>
    <w:rsid w:val="00181F2E"/>
    <w:rsid w:val="00184282"/>
    <w:rsid w:val="00184EF0"/>
    <w:rsid w:val="00185911"/>
    <w:rsid w:val="00190C90"/>
    <w:rsid w:val="0019151A"/>
    <w:rsid w:val="00191EFE"/>
    <w:rsid w:val="001928B8"/>
    <w:rsid w:val="00192BE0"/>
    <w:rsid w:val="00193CB3"/>
    <w:rsid w:val="00195826"/>
    <w:rsid w:val="00195A32"/>
    <w:rsid w:val="00196E51"/>
    <w:rsid w:val="001A01A1"/>
    <w:rsid w:val="001A03F5"/>
    <w:rsid w:val="001A0607"/>
    <w:rsid w:val="001A107F"/>
    <w:rsid w:val="001A3365"/>
    <w:rsid w:val="001A38EB"/>
    <w:rsid w:val="001A3F56"/>
    <w:rsid w:val="001A4B6E"/>
    <w:rsid w:val="001A68BF"/>
    <w:rsid w:val="001A71A6"/>
    <w:rsid w:val="001B1042"/>
    <w:rsid w:val="001B13BD"/>
    <w:rsid w:val="001B283F"/>
    <w:rsid w:val="001B443C"/>
    <w:rsid w:val="001B53CA"/>
    <w:rsid w:val="001B5566"/>
    <w:rsid w:val="001C1358"/>
    <w:rsid w:val="001C1508"/>
    <w:rsid w:val="001C2127"/>
    <w:rsid w:val="001C2481"/>
    <w:rsid w:val="001C29E8"/>
    <w:rsid w:val="001C2EB9"/>
    <w:rsid w:val="001C352F"/>
    <w:rsid w:val="001C4D12"/>
    <w:rsid w:val="001C5354"/>
    <w:rsid w:val="001C6F50"/>
    <w:rsid w:val="001D1E28"/>
    <w:rsid w:val="001D30F5"/>
    <w:rsid w:val="001D39E9"/>
    <w:rsid w:val="001D4EF1"/>
    <w:rsid w:val="001D68AB"/>
    <w:rsid w:val="001D6B18"/>
    <w:rsid w:val="001D6C22"/>
    <w:rsid w:val="001D75D8"/>
    <w:rsid w:val="001D79F6"/>
    <w:rsid w:val="001D7A31"/>
    <w:rsid w:val="001D7DDA"/>
    <w:rsid w:val="001E185F"/>
    <w:rsid w:val="001E1DDD"/>
    <w:rsid w:val="001E21DB"/>
    <w:rsid w:val="001E3E02"/>
    <w:rsid w:val="001E3FF2"/>
    <w:rsid w:val="001E4CA5"/>
    <w:rsid w:val="001E6906"/>
    <w:rsid w:val="001E6A17"/>
    <w:rsid w:val="001E6D77"/>
    <w:rsid w:val="001F084D"/>
    <w:rsid w:val="001F0B80"/>
    <w:rsid w:val="001F20D7"/>
    <w:rsid w:val="001F2167"/>
    <w:rsid w:val="001F3036"/>
    <w:rsid w:val="001F3C70"/>
    <w:rsid w:val="001F43EC"/>
    <w:rsid w:val="001F6248"/>
    <w:rsid w:val="001F6754"/>
    <w:rsid w:val="001F74FB"/>
    <w:rsid w:val="00200988"/>
    <w:rsid w:val="002016AF"/>
    <w:rsid w:val="00204214"/>
    <w:rsid w:val="00204993"/>
    <w:rsid w:val="00204FA1"/>
    <w:rsid w:val="00205120"/>
    <w:rsid w:val="00207141"/>
    <w:rsid w:val="00211138"/>
    <w:rsid w:val="002115E3"/>
    <w:rsid w:val="0021248D"/>
    <w:rsid w:val="002129B0"/>
    <w:rsid w:val="00213120"/>
    <w:rsid w:val="002142FE"/>
    <w:rsid w:val="00214AF1"/>
    <w:rsid w:val="00217F8B"/>
    <w:rsid w:val="00220E0C"/>
    <w:rsid w:val="00221976"/>
    <w:rsid w:val="0022287C"/>
    <w:rsid w:val="00222E3F"/>
    <w:rsid w:val="0022538D"/>
    <w:rsid w:val="00226DBB"/>
    <w:rsid w:val="00226DC1"/>
    <w:rsid w:val="00227188"/>
    <w:rsid w:val="002275F0"/>
    <w:rsid w:val="0023100E"/>
    <w:rsid w:val="002310ED"/>
    <w:rsid w:val="002319FC"/>
    <w:rsid w:val="002321A9"/>
    <w:rsid w:val="0023460C"/>
    <w:rsid w:val="00234787"/>
    <w:rsid w:val="00235B7E"/>
    <w:rsid w:val="00235D5B"/>
    <w:rsid w:val="00240EA7"/>
    <w:rsid w:val="00241153"/>
    <w:rsid w:val="002430AD"/>
    <w:rsid w:val="002431DA"/>
    <w:rsid w:val="00243C28"/>
    <w:rsid w:val="00247106"/>
    <w:rsid w:val="002477F2"/>
    <w:rsid w:val="00250D1E"/>
    <w:rsid w:val="0025130A"/>
    <w:rsid w:val="002515EC"/>
    <w:rsid w:val="00251B91"/>
    <w:rsid w:val="002530B6"/>
    <w:rsid w:val="002535F9"/>
    <w:rsid w:val="002538EC"/>
    <w:rsid w:val="00253A5B"/>
    <w:rsid w:val="002569E2"/>
    <w:rsid w:val="00257783"/>
    <w:rsid w:val="002603CD"/>
    <w:rsid w:val="002609E8"/>
    <w:rsid w:val="002620BD"/>
    <w:rsid w:val="0026304A"/>
    <w:rsid w:val="00263236"/>
    <w:rsid w:val="00264A60"/>
    <w:rsid w:val="00265AB1"/>
    <w:rsid w:val="00265E6D"/>
    <w:rsid w:val="002706A5"/>
    <w:rsid w:val="00272EE2"/>
    <w:rsid w:val="00273ECB"/>
    <w:rsid w:val="00275DCE"/>
    <w:rsid w:val="00276B8C"/>
    <w:rsid w:val="00276F5A"/>
    <w:rsid w:val="00276F68"/>
    <w:rsid w:val="00280AB8"/>
    <w:rsid w:val="00281B1F"/>
    <w:rsid w:val="00281F85"/>
    <w:rsid w:val="0028228E"/>
    <w:rsid w:val="002835D2"/>
    <w:rsid w:val="00284106"/>
    <w:rsid w:val="00284B36"/>
    <w:rsid w:val="00285517"/>
    <w:rsid w:val="0028655C"/>
    <w:rsid w:val="002877BC"/>
    <w:rsid w:val="002907CA"/>
    <w:rsid w:val="0029375D"/>
    <w:rsid w:val="0029430D"/>
    <w:rsid w:val="002954C3"/>
    <w:rsid w:val="00296D86"/>
    <w:rsid w:val="002974E9"/>
    <w:rsid w:val="002A29D3"/>
    <w:rsid w:val="002A313D"/>
    <w:rsid w:val="002A3C8E"/>
    <w:rsid w:val="002A413D"/>
    <w:rsid w:val="002A5EB7"/>
    <w:rsid w:val="002A6322"/>
    <w:rsid w:val="002A7EA8"/>
    <w:rsid w:val="002B0AF1"/>
    <w:rsid w:val="002B106F"/>
    <w:rsid w:val="002B13E2"/>
    <w:rsid w:val="002B23EC"/>
    <w:rsid w:val="002B34B3"/>
    <w:rsid w:val="002B4DE4"/>
    <w:rsid w:val="002B4E57"/>
    <w:rsid w:val="002B57CE"/>
    <w:rsid w:val="002B588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370A"/>
    <w:rsid w:val="002D4530"/>
    <w:rsid w:val="002D5ECC"/>
    <w:rsid w:val="002E12CF"/>
    <w:rsid w:val="002E1DC6"/>
    <w:rsid w:val="002E35BE"/>
    <w:rsid w:val="002E5303"/>
    <w:rsid w:val="002E755D"/>
    <w:rsid w:val="002E7C0F"/>
    <w:rsid w:val="002F1A77"/>
    <w:rsid w:val="002F2BAD"/>
    <w:rsid w:val="002F2E09"/>
    <w:rsid w:val="002F3308"/>
    <w:rsid w:val="002F3871"/>
    <w:rsid w:val="002F6925"/>
    <w:rsid w:val="002F6C8C"/>
    <w:rsid w:val="00302C52"/>
    <w:rsid w:val="00303528"/>
    <w:rsid w:val="00303AED"/>
    <w:rsid w:val="00303BAD"/>
    <w:rsid w:val="003040FA"/>
    <w:rsid w:val="003048A7"/>
    <w:rsid w:val="0030544C"/>
    <w:rsid w:val="0030601F"/>
    <w:rsid w:val="00306297"/>
    <w:rsid w:val="00310301"/>
    <w:rsid w:val="0031342C"/>
    <w:rsid w:val="003141DE"/>
    <w:rsid w:val="00316981"/>
    <w:rsid w:val="00316ED6"/>
    <w:rsid w:val="00317265"/>
    <w:rsid w:val="00321581"/>
    <w:rsid w:val="0032161D"/>
    <w:rsid w:val="00323A1D"/>
    <w:rsid w:val="00324299"/>
    <w:rsid w:val="00325875"/>
    <w:rsid w:val="00326296"/>
    <w:rsid w:val="003307CA"/>
    <w:rsid w:val="00330E13"/>
    <w:rsid w:val="0033267A"/>
    <w:rsid w:val="00334592"/>
    <w:rsid w:val="00334F94"/>
    <w:rsid w:val="003354EE"/>
    <w:rsid w:val="003407E2"/>
    <w:rsid w:val="00340E0F"/>
    <w:rsid w:val="00342983"/>
    <w:rsid w:val="003437D1"/>
    <w:rsid w:val="0034413A"/>
    <w:rsid w:val="00344E66"/>
    <w:rsid w:val="00346524"/>
    <w:rsid w:val="003465EE"/>
    <w:rsid w:val="00346F06"/>
    <w:rsid w:val="00347176"/>
    <w:rsid w:val="00347C37"/>
    <w:rsid w:val="00347ED7"/>
    <w:rsid w:val="003506AB"/>
    <w:rsid w:val="00350C74"/>
    <w:rsid w:val="00351183"/>
    <w:rsid w:val="00352EBF"/>
    <w:rsid w:val="0035314C"/>
    <w:rsid w:val="00353240"/>
    <w:rsid w:val="003554FE"/>
    <w:rsid w:val="00356453"/>
    <w:rsid w:val="003567C4"/>
    <w:rsid w:val="003604F9"/>
    <w:rsid w:val="003631EB"/>
    <w:rsid w:val="003634AA"/>
    <w:rsid w:val="00364D92"/>
    <w:rsid w:val="00365B88"/>
    <w:rsid w:val="0036633B"/>
    <w:rsid w:val="003668AB"/>
    <w:rsid w:val="0036761C"/>
    <w:rsid w:val="00367816"/>
    <w:rsid w:val="00367877"/>
    <w:rsid w:val="00367BEE"/>
    <w:rsid w:val="00367FB1"/>
    <w:rsid w:val="00370162"/>
    <w:rsid w:val="0037173A"/>
    <w:rsid w:val="00372C93"/>
    <w:rsid w:val="003736AA"/>
    <w:rsid w:val="00373BE7"/>
    <w:rsid w:val="00373DF3"/>
    <w:rsid w:val="003744C2"/>
    <w:rsid w:val="00375392"/>
    <w:rsid w:val="003769F6"/>
    <w:rsid w:val="00377CDC"/>
    <w:rsid w:val="00382183"/>
    <w:rsid w:val="00383D90"/>
    <w:rsid w:val="0038405B"/>
    <w:rsid w:val="003842A3"/>
    <w:rsid w:val="003855D5"/>
    <w:rsid w:val="003856D5"/>
    <w:rsid w:val="00390134"/>
    <w:rsid w:val="00390F43"/>
    <w:rsid w:val="0039125B"/>
    <w:rsid w:val="00394D04"/>
    <w:rsid w:val="00395CD3"/>
    <w:rsid w:val="00397261"/>
    <w:rsid w:val="00397BCC"/>
    <w:rsid w:val="00397F25"/>
    <w:rsid w:val="003A09E8"/>
    <w:rsid w:val="003A0C8D"/>
    <w:rsid w:val="003A1263"/>
    <w:rsid w:val="003A39FB"/>
    <w:rsid w:val="003A45F6"/>
    <w:rsid w:val="003A5B90"/>
    <w:rsid w:val="003A66A5"/>
    <w:rsid w:val="003A7134"/>
    <w:rsid w:val="003B00EE"/>
    <w:rsid w:val="003B09C2"/>
    <w:rsid w:val="003B499B"/>
    <w:rsid w:val="003B568E"/>
    <w:rsid w:val="003B580C"/>
    <w:rsid w:val="003B5CDE"/>
    <w:rsid w:val="003B65FA"/>
    <w:rsid w:val="003B77F7"/>
    <w:rsid w:val="003C0408"/>
    <w:rsid w:val="003C1439"/>
    <w:rsid w:val="003C1B2A"/>
    <w:rsid w:val="003C2295"/>
    <w:rsid w:val="003C23BD"/>
    <w:rsid w:val="003C2433"/>
    <w:rsid w:val="003C2841"/>
    <w:rsid w:val="003C3B8C"/>
    <w:rsid w:val="003C43A6"/>
    <w:rsid w:val="003C43F9"/>
    <w:rsid w:val="003C4DBD"/>
    <w:rsid w:val="003C4F67"/>
    <w:rsid w:val="003C6709"/>
    <w:rsid w:val="003C6721"/>
    <w:rsid w:val="003C7DCE"/>
    <w:rsid w:val="003D0260"/>
    <w:rsid w:val="003D087F"/>
    <w:rsid w:val="003D1853"/>
    <w:rsid w:val="003D3518"/>
    <w:rsid w:val="003D3A81"/>
    <w:rsid w:val="003D42D4"/>
    <w:rsid w:val="003D44CA"/>
    <w:rsid w:val="003D519E"/>
    <w:rsid w:val="003D5A28"/>
    <w:rsid w:val="003D5D83"/>
    <w:rsid w:val="003D7EE3"/>
    <w:rsid w:val="003E0F12"/>
    <w:rsid w:val="003E116D"/>
    <w:rsid w:val="003E1DD4"/>
    <w:rsid w:val="003E2B89"/>
    <w:rsid w:val="003E2C05"/>
    <w:rsid w:val="003E3D90"/>
    <w:rsid w:val="003E4C34"/>
    <w:rsid w:val="003E5187"/>
    <w:rsid w:val="003E5869"/>
    <w:rsid w:val="003E59DC"/>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4256"/>
    <w:rsid w:val="00405630"/>
    <w:rsid w:val="00405828"/>
    <w:rsid w:val="004059FC"/>
    <w:rsid w:val="00406253"/>
    <w:rsid w:val="00407F18"/>
    <w:rsid w:val="0041201D"/>
    <w:rsid w:val="004127AD"/>
    <w:rsid w:val="00412B52"/>
    <w:rsid w:val="00412C79"/>
    <w:rsid w:val="00412E40"/>
    <w:rsid w:val="004139E7"/>
    <w:rsid w:val="0041480F"/>
    <w:rsid w:val="004148DC"/>
    <w:rsid w:val="00415564"/>
    <w:rsid w:val="00416889"/>
    <w:rsid w:val="00423300"/>
    <w:rsid w:val="00423DCA"/>
    <w:rsid w:val="004241CE"/>
    <w:rsid w:val="004249E7"/>
    <w:rsid w:val="00425DC9"/>
    <w:rsid w:val="00426873"/>
    <w:rsid w:val="00427B63"/>
    <w:rsid w:val="00431839"/>
    <w:rsid w:val="00431C59"/>
    <w:rsid w:val="00431D4F"/>
    <w:rsid w:val="00431E2A"/>
    <w:rsid w:val="00434B9F"/>
    <w:rsid w:val="00434E4E"/>
    <w:rsid w:val="0043726A"/>
    <w:rsid w:val="004405B2"/>
    <w:rsid w:val="004441E2"/>
    <w:rsid w:val="00444BD2"/>
    <w:rsid w:val="00446637"/>
    <w:rsid w:val="004504DE"/>
    <w:rsid w:val="00451E00"/>
    <w:rsid w:val="004547B4"/>
    <w:rsid w:val="00455473"/>
    <w:rsid w:val="0045723A"/>
    <w:rsid w:val="004608E4"/>
    <w:rsid w:val="00461013"/>
    <w:rsid w:val="00461EF3"/>
    <w:rsid w:val="00463DC4"/>
    <w:rsid w:val="00465098"/>
    <w:rsid w:val="0046553C"/>
    <w:rsid w:val="00466123"/>
    <w:rsid w:val="00466BDD"/>
    <w:rsid w:val="00467A3F"/>
    <w:rsid w:val="004711D4"/>
    <w:rsid w:val="004720FB"/>
    <w:rsid w:val="004726EA"/>
    <w:rsid w:val="00475283"/>
    <w:rsid w:val="00475EE5"/>
    <w:rsid w:val="00477097"/>
    <w:rsid w:val="004778A2"/>
    <w:rsid w:val="0048182A"/>
    <w:rsid w:val="00481E41"/>
    <w:rsid w:val="00481FB9"/>
    <w:rsid w:val="004831CD"/>
    <w:rsid w:val="0048445F"/>
    <w:rsid w:val="00485FF2"/>
    <w:rsid w:val="00487AAD"/>
    <w:rsid w:val="00490F6A"/>
    <w:rsid w:val="00492C47"/>
    <w:rsid w:val="0049327F"/>
    <w:rsid w:val="00493BE3"/>
    <w:rsid w:val="00494081"/>
    <w:rsid w:val="004940D8"/>
    <w:rsid w:val="004A1D73"/>
    <w:rsid w:val="004A49D2"/>
    <w:rsid w:val="004A5113"/>
    <w:rsid w:val="004A670C"/>
    <w:rsid w:val="004A6E10"/>
    <w:rsid w:val="004A6E5B"/>
    <w:rsid w:val="004B01FC"/>
    <w:rsid w:val="004B0686"/>
    <w:rsid w:val="004B2F38"/>
    <w:rsid w:val="004B4609"/>
    <w:rsid w:val="004B57CC"/>
    <w:rsid w:val="004B607F"/>
    <w:rsid w:val="004B6341"/>
    <w:rsid w:val="004B67F0"/>
    <w:rsid w:val="004B7280"/>
    <w:rsid w:val="004C07C4"/>
    <w:rsid w:val="004C252D"/>
    <w:rsid w:val="004C2750"/>
    <w:rsid w:val="004C2B35"/>
    <w:rsid w:val="004C326A"/>
    <w:rsid w:val="004C5D5B"/>
    <w:rsid w:val="004D0070"/>
    <w:rsid w:val="004D020D"/>
    <w:rsid w:val="004D0F38"/>
    <w:rsid w:val="004D15C2"/>
    <w:rsid w:val="004D1B94"/>
    <w:rsid w:val="004D3126"/>
    <w:rsid w:val="004D4884"/>
    <w:rsid w:val="004D602D"/>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5C1D"/>
    <w:rsid w:val="004F73B0"/>
    <w:rsid w:val="004F7E0A"/>
    <w:rsid w:val="00500A21"/>
    <w:rsid w:val="00501114"/>
    <w:rsid w:val="0050179C"/>
    <w:rsid w:val="00502B39"/>
    <w:rsid w:val="00503600"/>
    <w:rsid w:val="0050425E"/>
    <w:rsid w:val="00505463"/>
    <w:rsid w:val="00510403"/>
    <w:rsid w:val="00511AE0"/>
    <w:rsid w:val="00513EE8"/>
    <w:rsid w:val="00514D60"/>
    <w:rsid w:val="0051781D"/>
    <w:rsid w:val="0051799E"/>
    <w:rsid w:val="00517F29"/>
    <w:rsid w:val="0052189A"/>
    <w:rsid w:val="00522AAF"/>
    <w:rsid w:val="00523312"/>
    <w:rsid w:val="005245D8"/>
    <w:rsid w:val="00525466"/>
    <w:rsid w:val="00525F3A"/>
    <w:rsid w:val="00526A6C"/>
    <w:rsid w:val="00526EAA"/>
    <w:rsid w:val="0053079F"/>
    <w:rsid w:val="005318F9"/>
    <w:rsid w:val="00532D9F"/>
    <w:rsid w:val="00532E94"/>
    <w:rsid w:val="00533380"/>
    <w:rsid w:val="005345B5"/>
    <w:rsid w:val="00534BF0"/>
    <w:rsid w:val="00535A5E"/>
    <w:rsid w:val="00535F9D"/>
    <w:rsid w:val="00536516"/>
    <w:rsid w:val="005373E5"/>
    <w:rsid w:val="005401EE"/>
    <w:rsid w:val="00540B4C"/>
    <w:rsid w:val="005410AD"/>
    <w:rsid w:val="005415C9"/>
    <w:rsid w:val="00541C5C"/>
    <w:rsid w:val="00542EC5"/>
    <w:rsid w:val="00542F24"/>
    <w:rsid w:val="00543483"/>
    <w:rsid w:val="005436FA"/>
    <w:rsid w:val="00543FE1"/>
    <w:rsid w:val="005444E9"/>
    <w:rsid w:val="00547B3A"/>
    <w:rsid w:val="00551185"/>
    <w:rsid w:val="005511F9"/>
    <w:rsid w:val="00553577"/>
    <w:rsid w:val="005543C7"/>
    <w:rsid w:val="0055463B"/>
    <w:rsid w:val="00554B9B"/>
    <w:rsid w:val="00555A24"/>
    <w:rsid w:val="00555E58"/>
    <w:rsid w:val="00557354"/>
    <w:rsid w:val="00560FE4"/>
    <w:rsid w:val="00562AD2"/>
    <w:rsid w:val="00562AF3"/>
    <w:rsid w:val="00562DB5"/>
    <w:rsid w:val="00562E9C"/>
    <w:rsid w:val="005641AE"/>
    <w:rsid w:val="00565FF9"/>
    <w:rsid w:val="00566AB9"/>
    <w:rsid w:val="00570251"/>
    <w:rsid w:val="00572A00"/>
    <w:rsid w:val="00572CE3"/>
    <w:rsid w:val="00573049"/>
    <w:rsid w:val="005802C5"/>
    <w:rsid w:val="00581A9B"/>
    <w:rsid w:val="005838EB"/>
    <w:rsid w:val="00583A60"/>
    <w:rsid w:val="005848E2"/>
    <w:rsid w:val="00585407"/>
    <w:rsid w:val="00585BA1"/>
    <w:rsid w:val="00586508"/>
    <w:rsid w:val="005870DF"/>
    <w:rsid w:val="00590322"/>
    <w:rsid w:val="00591A4B"/>
    <w:rsid w:val="005924F3"/>
    <w:rsid w:val="00593259"/>
    <w:rsid w:val="00593295"/>
    <w:rsid w:val="005939A6"/>
    <w:rsid w:val="00593FA1"/>
    <w:rsid w:val="005958A5"/>
    <w:rsid w:val="00596E67"/>
    <w:rsid w:val="00597EBD"/>
    <w:rsid w:val="005A04F8"/>
    <w:rsid w:val="005A17B9"/>
    <w:rsid w:val="005A1A32"/>
    <w:rsid w:val="005A1B4C"/>
    <w:rsid w:val="005A3632"/>
    <w:rsid w:val="005A424B"/>
    <w:rsid w:val="005A4865"/>
    <w:rsid w:val="005A4BD1"/>
    <w:rsid w:val="005A7775"/>
    <w:rsid w:val="005B2DFC"/>
    <w:rsid w:val="005B4860"/>
    <w:rsid w:val="005B48F0"/>
    <w:rsid w:val="005B4D56"/>
    <w:rsid w:val="005B6D28"/>
    <w:rsid w:val="005B7089"/>
    <w:rsid w:val="005C17FF"/>
    <w:rsid w:val="005C324E"/>
    <w:rsid w:val="005C3D4D"/>
    <w:rsid w:val="005C4474"/>
    <w:rsid w:val="005C4781"/>
    <w:rsid w:val="005C5A45"/>
    <w:rsid w:val="005C5A82"/>
    <w:rsid w:val="005D0E44"/>
    <w:rsid w:val="005D25B3"/>
    <w:rsid w:val="005D25DE"/>
    <w:rsid w:val="005D389D"/>
    <w:rsid w:val="005D4117"/>
    <w:rsid w:val="005D63F1"/>
    <w:rsid w:val="005D6F36"/>
    <w:rsid w:val="005E142E"/>
    <w:rsid w:val="005E1E11"/>
    <w:rsid w:val="005E2A7D"/>
    <w:rsid w:val="005E33CC"/>
    <w:rsid w:val="005E74FB"/>
    <w:rsid w:val="005F279F"/>
    <w:rsid w:val="005F3780"/>
    <w:rsid w:val="005F64E9"/>
    <w:rsid w:val="005F70CC"/>
    <w:rsid w:val="00602419"/>
    <w:rsid w:val="006026D9"/>
    <w:rsid w:val="00603893"/>
    <w:rsid w:val="006038FE"/>
    <w:rsid w:val="006039F5"/>
    <w:rsid w:val="00603DCE"/>
    <w:rsid w:val="006060E6"/>
    <w:rsid w:val="00607341"/>
    <w:rsid w:val="00607EE0"/>
    <w:rsid w:val="006101BF"/>
    <w:rsid w:val="00611084"/>
    <w:rsid w:val="00612F06"/>
    <w:rsid w:val="006136AC"/>
    <w:rsid w:val="00613930"/>
    <w:rsid w:val="00613E43"/>
    <w:rsid w:val="0061440B"/>
    <w:rsid w:val="00615C44"/>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1D"/>
    <w:rsid w:val="006343E4"/>
    <w:rsid w:val="00634661"/>
    <w:rsid w:val="00635943"/>
    <w:rsid w:val="00636AFB"/>
    <w:rsid w:val="006379B2"/>
    <w:rsid w:val="00640367"/>
    <w:rsid w:val="0064062F"/>
    <w:rsid w:val="0064071A"/>
    <w:rsid w:val="00643721"/>
    <w:rsid w:val="006448D7"/>
    <w:rsid w:val="00644DE1"/>
    <w:rsid w:val="00644E1E"/>
    <w:rsid w:val="00645238"/>
    <w:rsid w:val="00645373"/>
    <w:rsid w:val="006465D2"/>
    <w:rsid w:val="00646D76"/>
    <w:rsid w:val="0065087D"/>
    <w:rsid w:val="00651B66"/>
    <w:rsid w:val="0065212A"/>
    <w:rsid w:val="00655386"/>
    <w:rsid w:val="006567BC"/>
    <w:rsid w:val="00656C46"/>
    <w:rsid w:val="00657187"/>
    <w:rsid w:val="00663E69"/>
    <w:rsid w:val="00664741"/>
    <w:rsid w:val="006665F8"/>
    <w:rsid w:val="0066715A"/>
    <w:rsid w:val="00673620"/>
    <w:rsid w:val="00675EFE"/>
    <w:rsid w:val="00677B58"/>
    <w:rsid w:val="00677C4C"/>
    <w:rsid w:val="0068021A"/>
    <w:rsid w:val="0068082A"/>
    <w:rsid w:val="006816DD"/>
    <w:rsid w:val="00683ABC"/>
    <w:rsid w:val="00684E5E"/>
    <w:rsid w:val="00685325"/>
    <w:rsid w:val="006855A7"/>
    <w:rsid w:val="00685884"/>
    <w:rsid w:val="00685B7B"/>
    <w:rsid w:val="0068613C"/>
    <w:rsid w:val="00686C40"/>
    <w:rsid w:val="00687FE0"/>
    <w:rsid w:val="00691608"/>
    <w:rsid w:val="00691685"/>
    <w:rsid w:val="00691C89"/>
    <w:rsid w:val="006927E9"/>
    <w:rsid w:val="006928DC"/>
    <w:rsid w:val="00692B2A"/>
    <w:rsid w:val="006934BB"/>
    <w:rsid w:val="00694A4D"/>
    <w:rsid w:val="006950DE"/>
    <w:rsid w:val="006954D1"/>
    <w:rsid w:val="00695854"/>
    <w:rsid w:val="00696878"/>
    <w:rsid w:val="00697246"/>
    <w:rsid w:val="00697AA8"/>
    <w:rsid w:val="00697C59"/>
    <w:rsid w:val="006A1445"/>
    <w:rsid w:val="006A1620"/>
    <w:rsid w:val="006A1B15"/>
    <w:rsid w:val="006A1DE2"/>
    <w:rsid w:val="006A260C"/>
    <w:rsid w:val="006A327C"/>
    <w:rsid w:val="006A6DF0"/>
    <w:rsid w:val="006B2683"/>
    <w:rsid w:val="006B4039"/>
    <w:rsid w:val="006B49CF"/>
    <w:rsid w:val="006B5BFC"/>
    <w:rsid w:val="006B6C18"/>
    <w:rsid w:val="006C151C"/>
    <w:rsid w:val="006C201B"/>
    <w:rsid w:val="006C3073"/>
    <w:rsid w:val="006C4531"/>
    <w:rsid w:val="006C4FB3"/>
    <w:rsid w:val="006C5CEC"/>
    <w:rsid w:val="006C7617"/>
    <w:rsid w:val="006D02E3"/>
    <w:rsid w:val="006D0931"/>
    <w:rsid w:val="006D104F"/>
    <w:rsid w:val="006D13BA"/>
    <w:rsid w:val="006D17C2"/>
    <w:rsid w:val="006D1A41"/>
    <w:rsid w:val="006D1CFC"/>
    <w:rsid w:val="006D1F67"/>
    <w:rsid w:val="006D2325"/>
    <w:rsid w:val="006D2509"/>
    <w:rsid w:val="006D41C5"/>
    <w:rsid w:val="006D45A8"/>
    <w:rsid w:val="006D4D76"/>
    <w:rsid w:val="006D50A9"/>
    <w:rsid w:val="006D6095"/>
    <w:rsid w:val="006D6EAE"/>
    <w:rsid w:val="006D7314"/>
    <w:rsid w:val="006D7A90"/>
    <w:rsid w:val="006D7ABA"/>
    <w:rsid w:val="006E26A7"/>
    <w:rsid w:val="006E2A6B"/>
    <w:rsid w:val="006E2C93"/>
    <w:rsid w:val="006E2F7B"/>
    <w:rsid w:val="006E39A7"/>
    <w:rsid w:val="006E56A3"/>
    <w:rsid w:val="006E5C2E"/>
    <w:rsid w:val="006E6C2F"/>
    <w:rsid w:val="006F13A5"/>
    <w:rsid w:val="006F223F"/>
    <w:rsid w:val="006F36C0"/>
    <w:rsid w:val="006F43D4"/>
    <w:rsid w:val="006F7F0D"/>
    <w:rsid w:val="007016BD"/>
    <w:rsid w:val="0070223D"/>
    <w:rsid w:val="007034D6"/>
    <w:rsid w:val="0070374D"/>
    <w:rsid w:val="00703C95"/>
    <w:rsid w:val="0070576B"/>
    <w:rsid w:val="00705877"/>
    <w:rsid w:val="00707A55"/>
    <w:rsid w:val="00707BA0"/>
    <w:rsid w:val="007107AE"/>
    <w:rsid w:val="00710D28"/>
    <w:rsid w:val="00710DC5"/>
    <w:rsid w:val="007113FD"/>
    <w:rsid w:val="007120ED"/>
    <w:rsid w:val="00712B89"/>
    <w:rsid w:val="00713943"/>
    <w:rsid w:val="00714187"/>
    <w:rsid w:val="007149A5"/>
    <w:rsid w:val="00715120"/>
    <w:rsid w:val="007151A8"/>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402"/>
    <w:rsid w:val="007368F3"/>
    <w:rsid w:val="00736B7E"/>
    <w:rsid w:val="007405B9"/>
    <w:rsid w:val="007412C6"/>
    <w:rsid w:val="00741D07"/>
    <w:rsid w:val="00741D42"/>
    <w:rsid w:val="00742D80"/>
    <w:rsid w:val="00743CFC"/>
    <w:rsid w:val="00745549"/>
    <w:rsid w:val="007475FC"/>
    <w:rsid w:val="00750473"/>
    <w:rsid w:val="007515A7"/>
    <w:rsid w:val="0075160A"/>
    <w:rsid w:val="00751B84"/>
    <w:rsid w:val="007529E5"/>
    <w:rsid w:val="00752C93"/>
    <w:rsid w:val="00752FAC"/>
    <w:rsid w:val="00753461"/>
    <w:rsid w:val="00755865"/>
    <w:rsid w:val="0075647B"/>
    <w:rsid w:val="007570DB"/>
    <w:rsid w:val="00760A36"/>
    <w:rsid w:val="00761FF0"/>
    <w:rsid w:val="00763141"/>
    <w:rsid w:val="0076347F"/>
    <w:rsid w:val="00763580"/>
    <w:rsid w:val="00764384"/>
    <w:rsid w:val="00770B92"/>
    <w:rsid w:val="007715D2"/>
    <w:rsid w:val="00771632"/>
    <w:rsid w:val="007717DD"/>
    <w:rsid w:val="007722A8"/>
    <w:rsid w:val="00772C35"/>
    <w:rsid w:val="00774216"/>
    <w:rsid w:val="007759B7"/>
    <w:rsid w:val="0077721A"/>
    <w:rsid w:val="00777B7A"/>
    <w:rsid w:val="007810B6"/>
    <w:rsid w:val="00783192"/>
    <w:rsid w:val="00783D3C"/>
    <w:rsid w:val="00783F2D"/>
    <w:rsid w:val="00784A2E"/>
    <w:rsid w:val="00790682"/>
    <w:rsid w:val="00791143"/>
    <w:rsid w:val="00791251"/>
    <w:rsid w:val="00791E9B"/>
    <w:rsid w:val="00791F8B"/>
    <w:rsid w:val="00792D16"/>
    <w:rsid w:val="00793084"/>
    <w:rsid w:val="00794090"/>
    <w:rsid w:val="00795598"/>
    <w:rsid w:val="00795AB4"/>
    <w:rsid w:val="00797336"/>
    <w:rsid w:val="007A1634"/>
    <w:rsid w:val="007A1716"/>
    <w:rsid w:val="007A3F35"/>
    <w:rsid w:val="007A5146"/>
    <w:rsid w:val="007B0733"/>
    <w:rsid w:val="007B10E8"/>
    <w:rsid w:val="007B18BA"/>
    <w:rsid w:val="007B3731"/>
    <w:rsid w:val="007B4D0E"/>
    <w:rsid w:val="007B520B"/>
    <w:rsid w:val="007B77EC"/>
    <w:rsid w:val="007C053D"/>
    <w:rsid w:val="007C12A0"/>
    <w:rsid w:val="007C16B1"/>
    <w:rsid w:val="007C196E"/>
    <w:rsid w:val="007C2828"/>
    <w:rsid w:val="007C2919"/>
    <w:rsid w:val="007C48AF"/>
    <w:rsid w:val="007C53F9"/>
    <w:rsid w:val="007C6012"/>
    <w:rsid w:val="007D03EA"/>
    <w:rsid w:val="007D0C2E"/>
    <w:rsid w:val="007D48FD"/>
    <w:rsid w:val="007D4BE3"/>
    <w:rsid w:val="007D65F9"/>
    <w:rsid w:val="007E196E"/>
    <w:rsid w:val="007E2C0C"/>
    <w:rsid w:val="007E32E9"/>
    <w:rsid w:val="007E35BF"/>
    <w:rsid w:val="007E4044"/>
    <w:rsid w:val="007E4C40"/>
    <w:rsid w:val="007E4D5F"/>
    <w:rsid w:val="007E4E8B"/>
    <w:rsid w:val="007E66A4"/>
    <w:rsid w:val="007E7517"/>
    <w:rsid w:val="007F1C1E"/>
    <w:rsid w:val="007F269F"/>
    <w:rsid w:val="007F3437"/>
    <w:rsid w:val="007F37F4"/>
    <w:rsid w:val="007F394B"/>
    <w:rsid w:val="007F4E89"/>
    <w:rsid w:val="00806DBB"/>
    <w:rsid w:val="00807B9C"/>
    <w:rsid w:val="00810C6E"/>
    <w:rsid w:val="008111BD"/>
    <w:rsid w:val="00812EEE"/>
    <w:rsid w:val="0081308D"/>
    <w:rsid w:val="0081473D"/>
    <w:rsid w:val="00814E23"/>
    <w:rsid w:val="00815470"/>
    <w:rsid w:val="00815E0D"/>
    <w:rsid w:val="00815EFC"/>
    <w:rsid w:val="00816484"/>
    <w:rsid w:val="00817FB4"/>
    <w:rsid w:val="008212BE"/>
    <w:rsid w:val="0082461F"/>
    <w:rsid w:val="00825F55"/>
    <w:rsid w:val="00827A0E"/>
    <w:rsid w:val="00830AF1"/>
    <w:rsid w:val="00831D08"/>
    <w:rsid w:val="008323EF"/>
    <w:rsid w:val="00832408"/>
    <w:rsid w:val="00835653"/>
    <w:rsid w:val="0083664A"/>
    <w:rsid w:val="00837B4A"/>
    <w:rsid w:val="0084019B"/>
    <w:rsid w:val="00840234"/>
    <w:rsid w:val="0084102D"/>
    <w:rsid w:val="008424A0"/>
    <w:rsid w:val="008427B7"/>
    <w:rsid w:val="0084437E"/>
    <w:rsid w:val="00844BD0"/>
    <w:rsid w:val="00844D26"/>
    <w:rsid w:val="00844F36"/>
    <w:rsid w:val="00845037"/>
    <w:rsid w:val="0084595A"/>
    <w:rsid w:val="00846501"/>
    <w:rsid w:val="00847B72"/>
    <w:rsid w:val="008501C8"/>
    <w:rsid w:val="00850247"/>
    <w:rsid w:val="00850374"/>
    <w:rsid w:val="008513F6"/>
    <w:rsid w:val="0085154D"/>
    <w:rsid w:val="008521C4"/>
    <w:rsid w:val="008524B3"/>
    <w:rsid w:val="00852B63"/>
    <w:rsid w:val="0085318E"/>
    <w:rsid w:val="00855B05"/>
    <w:rsid w:val="0085607A"/>
    <w:rsid w:val="00856488"/>
    <w:rsid w:val="00856E64"/>
    <w:rsid w:val="0086119E"/>
    <w:rsid w:val="0086235B"/>
    <w:rsid w:val="00862F22"/>
    <w:rsid w:val="00863FDF"/>
    <w:rsid w:val="0086688B"/>
    <w:rsid w:val="00866ACC"/>
    <w:rsid w:val="0086708C"/>
    <w:rsid w:val="00867A28"/>
    <w:rsid w:val="0087085A"/>
    <w:rsid w:val="00873485"/>
    <w:rsid w:val="00873F0F"/>
    <w:rsid w:val="008753FC"/>
    <w:rsid w:val="008754CF"/>
    <w:rsid w:val="0087664F"/>
    <w:rsid w:val="00877D07"/>
    <w:rsid w:val="00880859"/>
    <w:rsid w:val="00881A05"/>
    <w:rsid w:val="00882362"/>
    <w:rsid w:val="0088316D"/>
    <w:rsid w:val="008831CC"/>
    <w:rsid w:val="00884391"/>
    <w:rsid w:val="00884FF4"/>
    <w:rsid w:val="00885D9F"/>
    <w:rsid w:val="00886BBB"/>
    <w:rsid w:val="00887381"/>
    <w:rsid w:val="00895011"/>
    <w:rsid w:val="008979E3"/>
    <w:rsid w:val="00897A21"/>
    <w:rsid w:val="00897A24"/>
    <w:rsid w:val="00897BB1"/>
    <w:rsid w:val="008A0FB1"/>
    <w:rsid w:val="008A13CA"/>
    <w:rsid w:val="008A3109"/>
    <w:rsid w:val="008A4CB9"/>
    <w:rsid w:val="008A5D3C"/>
    <w:rsid w:val="008A5E62"/>
    <w:rsid w:val="008A7A41"/>
    <w:rsid w:val="008B02D6"/>
    <w:rsid w:val="008B13B8"/>
    <w:rsid w:val="008B2633"/>
    <w:rsid w:val="008B5623"/>
    <w:rsid w:val="008B66C9"/>
    <w:rsid w:val="008B6BBE"/>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32B"/>
    <w:rsid w:val="008D5E4E"/>
    <w:rsid w:val="008D72A5"/>
    <w:rsid w:val="008E036F"/>
    <w:rsid w:val="008E2C9A"/>
    <w:rsid w:val="008E317E"/>
    <w:rsid w:val="008E47BC"/>
    <w:rsid w:val="008E4DA8"/>
    <w:rsid w:val="008E7723"/>
    <w:rsid w:val="008F0EAA"/>
    <w:rsid w:val="008F151C"/>
    <w:rsid w:val="008F1787"/>
    <w:rsid w:val="008F4DF0"/>
    <w:rsid w:val="008F5426"/>
    <w:rsid w:val="008F6C9D"/>
    <w:rsid w:val="008F72A8"/>
    <w:rsid w:val="008F7FF5"/>
    <w:rsid w:val="00900123"/>
    <w:rsid w:val="0090164D"/>
    <w:rsid w:val="00901E67"/>
    <w:rsid w:val="00902476"/>
    <w:rsid w:val="0090273E"/>
    <w:rsid w:val="00903D25"/>
    <w:rsid w:val="009049B1"/>
    <w:rsid w:val="00905A05"/>
    <w:rsid w:val="00906083"/>
    <w:rsid w:val="00911F2B"/>
    <w:rsid w:val="00915D31"/>
    <w:rsid w:val="00915D5C"/>
    <w:rsid w:val="00915F83"/>
    <w:rsid w:val="00920C25"/>
    <w:rsid w:val="00920E00"/>
    <w:rsid w:val="00921C11"/>
    <w:rsid w:val="00924355"/>
    <w:rsid w:val="0092447F"/>
    <w:rsid w:val="00926598"/>
    <w:rsid w:val="0093006E"/>
    <w:rsid w:val="0093083A"/>
    <w:rsid w:val="00930D41"/>
    <w:rsid w:val="00930F36"/>
    <w:rsid w:val="0093101B"/>
    <w:rsid w:val="00932C0C"/>
    <w:rsid w:val="00933147"/>
    <w:rsid w:val="00933B22"/>
    <w:rsid w:val="00936C54"/>
    <w:rsid w:val="0093759A"/>
    <w:rsid w:val="0094203C"/>
    <w:rsid w:val="009421B1"/>
    <w:rsid w:val="00943646"/>
    <w:rsid w:val="00943D5A"/>
    <w:rsid w:val="00945414"/>
    <w:rsid w:val="00945639"/>
    <w:rsid w:val="00945DC2"/>
    <w:rsid w:val="009506EC"/>
    <w:rsid w:val="00950D21"/>
    <w:rsid w:val="009529DD"/>
    <w:rsid w:val="00952B47"/>
    <w:rsid w:val="00952E6C"/>
    <w:rsid w:val="009541D1"/>
    <w:rsid w:val="00954BB7"/>
    <w:rsid w:val="009553CC"/>
    <w:rsid w:val="00955608"/>
    <w:rsid w:val="00956584"/>
    <w:rsid w:val="00957F15"/>
    <w:rsid w:val="00960493"/>
    <w:rsid w:val="009618DB"/>
    <w:rsid w:val="009620A9"/>
    <w:rsid w:val="00962798"/>
    <w:rsid w:val="00964E25"/>
    <w:rsid w:val="0096782B"/>
    <w:rsid w:val="00967CAA"/>
    <w:rsid w:val="00967CCC"/>
    <w:rsid w:val="009716A9"/>
    <w:rsid w:val="00972872"/>
    <w:rsid w:val="00973AA4"/>
    <w:rsid w:val="00974237"/>
    <w:rsid w:val="00977969"/>
    <w:rsid w:val="00977A0C"/>
    <w:rsid w:val="009804A9"/>
    <w:rsid w:val="00980818"/>
    <w:rsid w:val="0098202D"/>
    <w:rsid w:val="00984426"/>
    <w:rsid w:val="009847F4"/>
    <w:rsid w:val="00986DB0"/>
    <w:rsid w:val="00986FD9"/>
    <w:rsid w:val="0098763F"/>
    <w:rsid w:val="00990107"/>
    <w:rsid w:val="00990BEB"/>
    <w:rsid w:val="00991625"/>
    <w:rsid w:val="0099213A"/>
    <w:rsid w:val="00994011"/>
    <w:rsid w:val="00994024"/>
    <w:rsid w:val="009942A5"/>
    <w:rsid w:val="009A0DC3"/>
    <w:rsid w:val="009A167A"/>
    <w:rsid w:val="009A19ED"/>
    <w:rsid w:val="009A1E4D"/>
    <w:rsid w:val="009A2BB5"/>
    <w:rsid w:val="009A38BD"/>
    <w:rsid w:val="009A39A3"/>
    <w:rsid w:val="009A4B16"/>
    <w:rsid w:val="009A5810"/>
    <w:rsid w:val="009A7190"/>
    <w:rsid w:val="009A7642"/>
    <w:rsid w:val="009B040B"/>
    <w:rsid w:val="009B1F1E"/>
    <w:rsid w:val="009B1F67"/>
    <w:rsid w:val="009B229D"/>
    <w:rsid w:val="009B2A08"/>
    <w:rsid w:val="009B570F"/>
    <w:rsid w:val="009B61C5"/>
    <w:rsid w:val="009B6687"/>
    <w:rsid w:val="009B736D"/>
    <w:rsid w:val="009C0116"/>
    <w:rsid w:val="009C08FA"/>
    <w:rsid w:val="009C0F79"/>
    <w:rsid w:val="009C2625"/>
    <w:rsid w:val="009C5458"/>
    <w:rsid w:val="009C683B"/>
    <w:rsid w:val="009C72F1"/>
    <w:rsid w:val="009C7571"/>
    <w:rsid w:val="009D0DC4"/>
    <w:rsid w:val="009D0FE7"/>
    <w:rsid w:val="009D22EE"/>
    <w:rsid w:val="009D317D"/>
    <w:rsid w:val="009D32BE"/>
    <w:rsid w:val="009D36AF"/>
    <w:rsid w:val="009D3975"/>
    <w:rsid w:val="009D463A"/>
    <w:rsid w:val="009D4734"/>
    <w:rsid w:val="009D4F6D"/>
    <w:rsid w:val="009D54B5"/>
    <w:rsid w:val="009D54C8"/>
    <w:rsid w:val="009D57CD"/>
    <w:rsid w:val="009E1003"/>
    <w:rsid w:val="009E1CCC"/>
    <w:rsid w:val="009E2B1F"/>
    <w:rsid w:val="009E3F70"/>
    <w:rsid w:val="009E442D"/>
    <w:rsid w:val="009E4742"/>
    <w:rsid w:val="009E62EF"/>
    <w:rsid w:val="009E7773"/>
    <w:rsid w:val="009E79B4"/>
    <w:rsid w:val="009F0B64"/>
    <w:rsid w:val="009F3608"/>
    <w:rsid w:val="009F36F4"/>
    <w:rsid w:val="009F375E"/>
    <w:rsid w:val="00A00B66"/>
    <w:rsid w:val="00A0138D"/>
    <w:rsid w:val="00A01401"/>
    <w:rsid w:val="00A017B5"/>
    <w:rsid w:val="00A019B7"/>
    <w:rsid w:val="00A026F5"/>
    <w:rsid w:val="00A03246"/>
    <w:rsid w:val="00A04414"/>
    <w:rsid w:val="00A04565"/>
    <w:rsid w:val="00A04D3A"/>
    <w:rsid w:val="00A0610F"/>
    <w:rsid w:val="00A07128"/>
    <w:rsid w:val="00A13197"/>
    <w:rsid w:val="00A132F8"/>
    <w:rsid w:val="00A14146"/>
    <w:rsid w:val="00A14AA3"/>
    <w:rsid w:val="00A14EB9"/>
    <w:rsid w:val="00A14EEA"/>
    <w:rsid w:val="00A15880"/>
    <w:rsid w:val="00A166DA"/>
    <w:rsid w:val="00A16D8C"/>
    <w:rsid w:val="00A1715D"/>
    <w:rsid w:val="00A1724B"/>
    <w:rsid w:val="00A17A3C"/>
    <w:rsid w:val="00A2226B"/>
    <w:rsid w:val="00A22F08"/>
    <w:rsid w:val="00A2309C"/>
    <w:rsid w:val="00A23BE7"/>
    <w:rsid w:val="00A241EE"/>
    <w:rsid w:val="00A24A3D"/>
    <w:rsid w:val="00A2748C"/>
    <w:rsid w:val="00A27A21"/>
    <w:rsid w:val="00A30403"/>
    <w:rsid w:val="00A30A7F"/>
    <w:rsid w:val="00A33920"/>
    <w:rsid w:val="00A33B53"/>
    <w:rsid w:val="00A34B70"/>
    <w:rsid w:val="00A35CE5"/>
    <w:rsid w:val="00A37E3F"/>
    <w:rsid w:val="00A43451"/>
    <w:rsid w:val="00A43ED6"/>
    <w:rsid w:val="00A45E65"/>
    <w:rsid w:val="00A46ED7"/>
    <w:rsid w:val="00A516BD"/>
    <w:rsid w:val="00A525DF"/>
    <w:rsid w:val="00A53330"/>
    <w:rsid w:val="00A534D0"/>
    <w:rsid w:val="00A53E89"/>
    <w:rsid w:val="00A54D0F"/>
    <w:rsid w:val="00A55150"/>
    <w:rsid w:val="00A56C91"/>
    <w:rsid w:val="00A56CED"/>
    <w:rsid w:val="00A60B89"/>
    <w:rsid w:val="00A6146C"/>
    <w:rsid w:val="00A61695"/>
    <w:rsid w:val="00A6347F"/>
    <w:rsid w:val="00A641D6"/>
    <w:rsid w:val="00A67203"/>
    <w:rsid w:val="00A705D7"/>
    <w:rsid w:val="00A706AC"/>
    <w:rsid w:val="00A719AD"/>
    <w:rsid w:val="00A72325"/>
    <w:rsid w:val="00A72D60"/>
    <w:rsid w:val="00A75091"/>
    <w:rsid w:val="00A75584"/>
    <w:rsid w:val="00A76679"/>
    <w:rsid w:val="00A77F65"/>
    <w:rsid w:val="00A8058B"/>
    <w:rsid w:val="00A8116F"/>
    <w:rsid w:val="00A817D8"/>
    <w:rsid w:val="00A81FD1"/>
    <w:rsid w:val="00A82184"/>
    <w:rsid w:val="00A84162"/>
    <w:rsid w:val="00A860E1"/>
    <w:rsid w:val="00A877B7"/>
    <w:rsid w:val="00A90112"/>
    <w:rsid w:val="00A91030"/>
    <w:rsid w:val="00A91608"/>
    <w:rsid w:val="00A91914"/>
    <w:rsid w:val="00A92D2F"/>
    <w:rsid w:val="00A969BA"/>
    <w:rsid w:val="00A970EB"/>
    <w:rsid w:val="00AA05E1"/>
    <w:rsid w:val="00AA0C9D"/>
    <w:rsid w:val="00AA1659"/>
    <w:rsid w:val="00AA2401"/>
    <w:rsid w:val="00AA281E"/>
    <w:rsid w:val="00AA2FF9"/>
    <w:rsid w:val="00AA3DA6"/>
    <w:rsid w:val="00AA4990"/>
    <w:rsid w:val="00AA5FA7"/>
    <w:rsid w:val="00AA5FD7"/>
    <w:rsid w:val="00AA6DE9"/>
    <w:rsid w:val="00AA753F"/>
    <w:rsid w:val="00AB1969"/>
    <w:rsid w:val="00AB3DDA"/>
    <w:rsid w:val="00AB4A24"/>
    <w:rsid w:val="00AB5675"/>
    <w:rsid w:val="00AB5B74"/>
    <w:rsid w:val="00AB6A40"/>
    <w:rsid w:val="00AB6CA9"/>
    <w:rsid w:val="00AC08EF"/>
    <w:rsid w:val="00AC2346"/>
    <w:rsid w:val="00AC27B8"/>
    <w:rsid w:val="00AC282B"/>
    <w:rsid w:val="00AC2A4C"/>
    <w:rsid w:val="00AC4B0C"/>
    <w:rsid w:val="00AC670F"/>
    <w:rsid w:val="00AC6E03"/>
    <w:rsid w:val="00AD1AE4"/>
    <w:rsid w:val="00AD5320"/>
    <w:rsid w:val="00AD553B"/>
    <w:rsid w:val="00AD6157"/>
    <w:rsid w:val="00AD66B4"/>
    <w:rsid w:val="00AD7034"/>
    <w:rsid w:val="00AD70FA"/>
    <w:rsid w:val="00AE0DC7"/>
    <w:rsid w:val="00AE10F6"/>
    <w:rsid w:val="00AE1399"/>
    <w:rsid w:val="00AE166B"/>
    <w:rsid w:val="00AE2F7A"/>
    <w:rsid w:val="00AE398F"/>
    <w:rsid w:val="00AE3F89"/>
    <w:rsid w:val="00AE5B49"/>
    <w:rsid w:val="00AE62E5"/>
    <w:rsid w:val="00AE7DDE"/>
    <w:rsid w:val="00AF1FB8"/>
    <w:rsid w:val="00AF1FED"/>
    <w:rsid w:val="00AF31D3"/>
    <w:rsid w:val="00AF5453"/>
    <w:rsid w:val="00AF597B"/>
    <w:rsid w:val="00AF5B93"/>
    <w:rsid w:val="00AF7C40"/>
    <w:rsid w:val="00B00397"/>
    <w:rsid w:val="00B00837"/>
    <w:rsid w:val="00B028CE"/>
    <w:rsid w:val="00B02AA5"/>
    <w:rsid w:val="00B030CC"/>
    <w:rsid w:val="00B03E6E"/>
    <w:rsid w:val="00B054DD"/>
    <w:rsid w:val="00B064C9"/>
    <w:rsid w:val="00B064FC"/>
    <w:rsid w:val="00B07E2C"/>
    <w:rsid w:val="00B10D66"/>
    <w:rsid w:val="00B11305"/>
    <w:rsid w:val="00B11665"/>
    <w:rsid w:val="00B1172B"/>
    <w:rsid w:val="00B11FAA"/>
    <w:rsid w:val="00B12429"/>
    <w:rsid w:val="00B124B8"/>
    <w:rsid w:val="00B129A0"/>
    <w:rsid w:val="00B12C6F"/>
    <w:rsid w:val="00B15618"/>
    <w:rsid w:val="00B15B5E"/>
    <w:rsid w:val="00B17CAB"/>
    <w:rsid w:val="00B20E1F"/>
    <w:rsid w:val="00B218F1"/>
    <w:rsid w:val="00B2232C"/>
    <w:rsid w:val="00B22616"/>
    <w:rsid w:val="00B2465A"/>
    <w:rsid w:val="00B3197C"/>
    <w:rsid w:val="00B326FA"/>
    <w:rsid w:val="00B33714"/>
    <w:rsid w:val="00B351AD"/>
    <w:rsid w:val="00B35504"/>
    <w:rsid w:val="00B3651D"/>
    <w:rsid w:val="00B41F05"/>
    <w:rsid w:val="00B42242"/>
    <w:rsid w:val="00B42AA5"/>
    <w:rsid w:val="00B452E4"/>
    <w:rsid w:val="00B506BE"/>
    <w:rsid w:val="00B55365"/>
    <w:rsid w:val="00B558FB"/>
    <w:rsid w:val="00B55E4F"/>
    <w:rsid w:val="00B56193"/>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4339"/>
    <w:rsid w:val="00B843E8"/>
    <w:rsid w:val="00B85B2B"/>
    <w:rsid w:val="00B85F81"/>
    <w:rsid w:val="00B86254"/>
    <w:rsid w:val="00B90508"/>
    <w:rsid w:val="00B90749"/>
    <w:rsid w:val="00B92496"/>
    <w:rsid w:val="00B92690"/>
    <w:rsid w:val="00B9350E"/>
    <w:rsid w:val="00B93623"/>
    <w:rsid w:val="00B940D4"/>
    <w:rsid w:val="00B95D17"/>
    <w:rsid w:val="00B9683D"/>
    <w:rsid w:val="00B9726E"/>
    <w:rsid w:val="00B97EDA"/>
    <w:rsid w:val="00BA3253"/>
    <w:rsid w:val="00BA4997"/>
    <w:rsid w:val="00BA4C2B"/>
    <w:rsid w:val="00BA4D3C"/>
    <w:rsid w:val="00BA5152"/>
    <w:rsid w:val="00BA550C"/>
    <w:rsid w:val="00BA7726"/>
    <w:rsid w:val="00BA77B4"/>
    <w:rsid w:val="00BB0D88"/>
    <w:rsid w:val="00BB3BAF"/>
    <w:rsid w:val="00BB4139"/>
    <w:rsid w:val="00BB5E23"/>
    <w:rsid w:val="00BC0661"/>
    <w:rsid w:val="00BC3589"/>
    <w:rsid w:val="00BC3AD7"/>
    <w:rsid w:val="00BC6D96"/>
    <w:rsid w:val="00BD162C"/>
    <w:rsid w:val="00BD2055"/>
    <w:rsid w:val="00BD25CB"/>
    <w:rsid w:val="00BD2DB7"/>
    <w:rsid w:val="00BD3874"/>
    <w:rsid w:val="00BD4017"/>
    <w:rsid w:val="00BD4CA3"/>
    <w:rsid w:val="00BD5044"/>
    <w:rsid w:val="00BD6D10"/>
    <w:rsid w:val="00BD7894"/>
    <w:rsid w:val="00BD7BB6"/>
    <w:rsid w:val="00BE3256"/>
    <w:rsid w:val="00BE364B"/>
    <w:rsid w:val="00BE4372"/>
    <w:rsid w:val="00BE57A3"/>
    <w:rsid w:val="00BE6BA8"/>
    <w:rsid w:val="00BE7FD4"/>
    <w:rsid w:val="00BF3AF0"/>
    <w:rsid w:val="00BF3CA0"/>
    <w:rsid w:val="00BF4A03"/>
    <w:rsid w:val="00BF5000"/>
    <w:rsid w:val="00BF57A8"/>
    <w:rsid w:val="00C025DB"/>
    <w:rsid w:val="00C04028"/>
    <w:rsid w:val="00C043BC"/>
    <w:rsid w:val="00C044E5"/>
    <w:rsid w:val="00C0487F"/>
    <w:rsid w:val="00C05696"/>
    <w:rsid w:val="00C07031"/>
    <w:rsid w:val="00C10680"/>
    <w:rsid w:val="00C1109F"/>
    <w:rsid w:val="00C1150E"/>
    <w:rsid w:val="00C17D4A"/>
    <w:rsid w:val="00C22D9E"/>
    <w:rsid w:val="00C271AE"/>
    <w:rsid w:val="00C305C6"/>
    <w:rsid w:val="00C32DD3"/>
    <w:rsid w:val="00C34CF9"/>
    <w:rsid w:val="00C3694F"/>
    <w:rsid w:val="00C4153C"/>
    <w:rsid w:val="00C41805"/>
    <w:rsid w:val="00C435F3"/>
    <w:rsid w:val="00C444DA"/>
    <w:rsid w:val="00C44546"/>
    <w:rsid w:val="00C449ED"/>
    <w:rsid w:val="00C44B72"/>
    <w:rsid w:val="00C46C11"/>
    <w:rsid w:val="00C4794B"/>
    <w:rsid w:val="00C47E2C"/>
    <w:rsid w:val="00C50761"/>
    <w:rsid w:val="00C50767"/>
    <w:rsid w:val="00C50D11"/>
    <w:rsid w:val="00C51E63"/>
    <w:rsid w:val="00C53905"/>
    <w:rsid w:val="00C55FFA"/>
    <w:rsid w:val="00C566A5"/>
    <w:rsid w:val="00C601A8"/>
    <w:rsid w:val="00C601CB"/>
    <w:rsid w:val="00C608B7"/>
    <w:rsid w:val="00C6151C"/>
    <w:rsid w:val="00C637A5"/>
    <w:rsid w:val="00C64222"/>
    <w:rsid w:val="00C64648"/>
    <w:rsid w:val="00C6602E"/>
    <w:rsid w:val="00C6773D"/>
    <w:rsid w:val="00C72BBF"/>
    <w:rsid w:val="00C72FA9"/>
    <w:rsid w:val="00C73DCC"/>
    <w:rsid w:val="00C7482C"/>
    <w:rsid w:val="00C80440"/>
    <w:rsid w:val="00C804B6"/>
    <w:rsid w:val="00C817C9"/>
    <w:rsid w:val="00C81E11"/>
    <w:rsid w:val="00C82560"/>
    <w:rsid w:val="00C8362B"/>
    <w:rsid w:val="00C83D55"/>
    <w:rsid w:val="00C846C6"/>
    <w:rsid w:val="00C8690E"/>
    <w:rsid w:val="00C8740E"/>
    <w:rsid w:val="00C91E63"/>
    <w:rsid w:val="00C93127"/>
    <w:rsid w:val="00C9420F"/>
    <w:rsid w:val="00C94C39"/>
    <w:rsid w:val="00C97DD1"/>
    <w:rsid w:val="00CA0D53"/>
    <w:rsid w:val="00CA0DB5"/>
    <w:rsid w:val="00CA1257"/>
    <w:rsid w:val="00CA2E2D"/>
    <w:rsid w:val="00CA4490"/>
    <w:rsid w:val="00CA45B7"/>
    <w:rsid w:val="00CA4610"/>
    <w:rsid w:val="00CA6500"/>
    <w:rsid w:val="00CA70DF"/>
    <w:rsid w:val="00CA7664"/>
    <w:rsid w:val="00CA7B10"/>
    <w:rsid w:val="00CB1C31"/>
    <w:rsid w:val="00CB3267"/>
    <w:rsid w:val="00CB33A6"/>
    <w:rsid w:val="00CB33D5"/>
    <w:rsid w:val="00CB40D2"/>
    <w:rsid w:val="00CB57FC"/>
    <w:rsid w:val="00CB5A98"/>
    <w:rsid w:val="00CB7292"/>
    <w:rsid w:val="00CC0026"/>
    <w:rsid w:val="00CC0AE3"/>
    <w:rsid w:val="00CC0E5F"/>
    <w:rsid w:val="00CC1231"/>
    <w:rsid w:val="00CC1897"/>
    <w:rsid w:val="00CC2017"/>
    <w:rsid w:val="00CC20E7"/>
    <w:rsid w:val="00CC45D0"/>
    <w:rsid w:val="00CC5890"/>
    <w:rsid w:val="00CD000D"/>
    <w:rsid w:val="00CD172A"/>
    <w:rsid w:val="00CD1952"/>
    <w:rsid w:val="00CD287D"/>
    <w:rsid w:val="00CD3360"/>
    <w:rsid w:val="00CD3C4B"/>
    <w:rsid w:val="00CD598D"/>
    <w:rsid w:val="00CD6F1F"/>
    <w:rsid w:val="00CD7170"/>
    <w:rsid w:val="00CE0A55"/>
    <w:rsid w:val="00CE0C78"/>
    <w:rsid w:val="00CE326F"/>
    <w:rsid w:val="00CE53EB"/>
    <w:rsid w:val="00CE54CB"/>
    <w:rsid w:val="00CE68D5"/>
    <w:rsid w:val="00CE6ACD"/>
    <w:rsid w:val="00CE7951"/>
    <w:rsid w:val="00CF086A"/>
    <w:rsid w:val="00CF13D6"/>
    <w:rsid w:val="00CF215B"/>
    <w:rsid w:val="00CF2FEF"/>
    <w:rsid w:val="00CF3B96"/>
    <w:rsid w:val="00CF5852"/>
    <w:rsid w:val="00CF61DA"/>
    <w:rsid w:val="00CF71CF"/>
    <w:rsid w:val="00CF7C1D"/>
    <w:rsid w:val="00D00183"/>
    <w:rsid w:val="00D00381"/>
    <w:rsid w:val="00D01CAE"/>
    <w:rsid w:val="00D01D80"/>
    <w:rsid w:val="00D02FE7"/>
    <w:rsid w:val="00D05E0D"/>
    <w:rsid w:val="00D0645A"/>
    <w:rsid w:val="00D07437"/>
    <w:rsid w:val="00D10280"/>
    <w:rsid w:val="00D1053F"/>
    <w:rsid w:val="00D143B2"/>
    <w:rsid w:val="00D149EC"/>
    <w:rsid w:val="00D14AB0"/>
    <w:rsid w:val="00D14FAE"/>
    <w:rsid w:val="00D1672B"/>
    <w:rsid w:val="00D17668"/>
    <w:rsid w:val="00D20EAF"/>
    <w:rsid w:val="00D22780"/>
    <w:rsid w:val="00D23602"/>
    <w:rsid w:val="00D2416A"/>
    <w:rsid w:val="00D316FC"/>
    <w:rsid w:val="00D31C71"/>
    <w:rsid w:val="00D33D15"/>
    <w:rsid w:val="00D33F0F"/>
    <w:rsid w:val="00D34B39"/>
    <w:rsid w:val="00D34E15"/>
    <w:rsid w:val="00D36C5C"/>
    <w:rsid w:val="00D37807"/>
    <w:rsid w:val="00D37D64"/>
    <w:rsid w:val="00D41EDB"/>
    <w:rsid w:val="00D42240"/>
    <w:rsid w:val="00D427B7"/>
    <w:rsid w:val="00D42B6F"/>
    <w:rsid w:val="00D46E97"/>
    <w:rsid w:val="00D47412"/>
    <w:rsid w:val="00D50AAC"/>
    <w:rsid w:val="00D50BF9"/>
    <w:rsid w:val="00D50EEC"/>
    <w:rsid w:val="00D51BEE"/>
    <w:rsid w:val="00D52490"/>
    <w:rsid w:val="00D54265"/>
    <w:rsid w:val="00D55484"/>
    <w:rsid w:val="00D55815"/>
    <w:rsid w:val="00D558EE"/>
    <w:rsid w:val="00D55A49"/>
    <w:rsid w:val="00D573A3"/>
    <w:rsid w:val="00D57982"/>
    <w:rsid w:val="00D60E1E"/>
    <w:rsid w:val="00D61489"/>
    <w:rsid w:val="00D61B6A"/>
    <w:rsid w:val="00D61BBC"/>
    <w:rsid w:val="00D626A5"/>
    <w:rsid w:val="00D64999"/>
    <w:rsid w:val="00D67F39"/>
    <w:rsid w:val="00D70176"/>
    <w:rsid w:val="00D705F5"/>
    <w:rsid w:val="00D70916"/>
    <w:rsid w:val="00D71DF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877A4"/>
    <w:rsid w:val="00D90445"/>
    <w:rsid w:val="00D9144F"/>
    <w:rsid w:val="00D9162B"/>
    <w:rsid w:val="00D916F5"/>
    <w:rsid w:val="00D91A37"/>
    <w:rsid w:val="00D91EC4"/>
    <w:rsid w:val="00D9285F"/>
    <w:rsid w:val="00D92C13"/>
    <w:rsid w:val="00D94664"/>
    <w:rsid w:val="00D94E65"/>
    <w:rsid w:val="00D9543F"/>
    <w:rsid w:val="00D960D9"/>
    <w:rsid w:val="00DA0E65"/>
    <w:rsid w:val="00DA1D9F"/>
    <w:rsid w:val="00DA289C"/>
    <w:rsid w:val="00DA3F29"/>
    <w:rsid w:val="00DA4EF0"/>
    <w:rsid w:val="00DB2353"/>
    <w:rsid w:val="00DB411B"/>
    <w:rsid w:val="00DB59FC"/>
    <w:rsid w:val="00DB612F"/>
    <w:rsid w:val="00DB68D9"/>
    <w:rsid w:val="00DB6905"/>
    <w:rsid w:val="00DB6F05"/>
    <w:rsid w:val="00DC0446"/>
    <w:rsid w:val="00DC0FC0"/>
    <w:rsid w:val="00DC24BC"/>
    <w:rsid w:val="00DC292B"/>
    <w:rsid w:val="00DC2C11"/>
    <w:rsid w:val="00DC2CC1"/>
    <w:rsid w:val="00DC3FDB"/>
    <w:rsid w:val="00DC425B"/>
    <w:rsid w:val="00DC467F"/>
    <w:rsid w:val="00DC518F"/>
    <w:rsid w:val="00DC5720"/>
    <w:rsid w:val="00DC5788"/>
    <w:rsid w:val="00DC68C3"/>
    <w:rsid w:val="00DC72F9"/>
    <w:rsid w:val="00DC7E43"/>
    <w:rsid w:val="00DC7F54"/>
    <w:rsid w:val="00DD0018"/>
    <w:rsid w:val="00DD0879"/>
    <w:rsid w:val="00DD0A86"/>
    <w:rsid w:val="00DD127D"/>
    <w:rsid w:val="00DD22E8"/>
    <w:rsid w:val="00DD444A"/>
    <w:rsid w:val="00DD452B"/>
    <w:rsid w:val="00DD5BA1"/>
    <w:rsid w:val="00DD6553"/>
    <w:rsid w:val="00DE05A9"/>
    <w:rsid w:val="00DE315F"/>
    <w:rsid w:val="00DE3DB4"/>
    <w:rsid w:val="00DE4475"/>
    <w:rsid w:val="00DE530B"/>
    <w:rsid w:val="00DE59CC"/>
    <w:rsid w:val="00DE5BD3"/>
    <w:rsid w:val="00DE6094"/>
    <w:rsid w:val="00DE60B3"/>
    <w:rsid w:val="00DE7DAB"/>
    <w:rsid w:val="00DF10C3"/>
    <w:rsid w:val="00DF1761"/>
    <w:rsid w:val="00DF3BAC"/>
    <w:rsid w:val="00DF3F98"/>
    <w:rsid w:val="00DF4359"/>
    <w:rsid w:val="00DF5874"/>
    <w:rsid w:val="00DF69DF"/>
    <w:rsid w:val="00DF6E4A"/>
    <w:rsid w:val="00DF7320"/>
    <w:rsid w:val="00DF77A1"/>
    <w:rsid w:val="00E00005"/>
    <w:rsid w:val="00E00054"/>
    <w:rsid w:val="00E00688"/>
    <w:rsid w:val="00E00B01"/>
    <w:rsid w:val="00E00DFB"/>
    <w:rsid w:val="00E02CA0"/>
    <w:rsid w:val="00E03683"/>
    <w:rsid w:val="00E039DB"/>
    <w:rsid w:val="00E04D8D"/>
    <w:rsid w:val="00E059F7"/>
    <w:rsid w:val="00E05C27"/>
    <w:rsid w:val="00E06193"/>
    <w:rsid w:val="00E06551"/>
    <w:rsid w:val="00E0668A"/>
    <w:rsid w:val="00E06E96"/>
    <w:rsid w:val="00E111C3"/>
    <w:rsid w:val="00E119F2"/>
    <w:rsid w:val="00E128AA"/>
    <w:rsid w:val="00E136D2"/>
    <w:rsid w:val="00E16672"/>
    <w:rsid w:val="00E17DF6"/>
    <w:rsid w:val="00E2067C"/>
    <w:rsid w:val="00E207E6"/>
    <w:rsid w:val="00E20EB6"/>
    <w:rsid w:val="00E21269"/>
    <w:rsid w:val="00E2224C"/>
    <w:rsid w:val="00E223FD"/>
    <w:rsid w:val="00E2381A"/>
    <w:rsid w:val="00E250F9"/>
    <w:rsid w:val="00E255E8"/>
    <w:rsid w:val="00E27EA1"/>
    <w:rsid w:val="00E30A8A"/>
    <w:rsid w:val="00E31928"/>
    <w:rsid w:val="00E32D13"/>
    <w:rsid w:val="00E32EA2"/>
    <w:rsid w:val="00E34673"/>
    <w:rsid w:val="00E34BE4"/>
    <w:rsid w:val="00E3586F"/>
    <w:rsid w:val="00E35971"/>
    <w:rsid w:val="00E36410"/>
    <w:rsid w:val="00E40405"/>
    <w:rsid w:val="00E41450"/>
    <w:rsid w:val="00E419D8"/>
    <w:rsid w:val="00E43558"/>
    <w:rsid w:val="00E44936"/>
    <w:rsid w:val="00E45313"/>
    <w:rsid w:val="00E47F76"/>
    <w:rsid w:val="00E50477"/>
    <w:rsid w:val="00E50E30"/>
    <w:rsid w:val="00E51B2B"/>
    <w:rsid w:val="00E52CB0"/>
    <w:rsid w:val="00E545CF"/>
    <w:rsid w:val="00E54B8B"/>
    <w:rsid w:val="00E563FC"/>
    <w:rsid w:val="00E601E9"/>
    <w:rsid w:val="00E614B3"/>
    <w:rsid w:val="00E61D9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51"/>
    <w:rsid w:val="00E90CE6"/>
    <w:rsid w:val="00E912A6"/>
    <w:rsid w:val="00E9249B"/>
    <w:rsid w:val="00E9257F"/>
    <w:rsid w:val="00E92C46"/>
    <w:rsid w:val="00E94D95"/>
    <w:rsid w:val="00E95682"/>
    <w:rsid w:val="00E96498"/>
    <w:rsid w:val="00E967FD"/>
    <w:rsid w:val="00E9708A"/>
    <w:rsid w:val="00EA136B"/>
    <w:rsid w:val="00EA218F"/>
    <w:rsid w:val="00EA2249"/>
    <w:rsid w:val="00EA2299"/>
    <w:rsid w:val="00EA2E4F"/>
    <w:rsid w:val="00EA44ED"/>
    <w:rsid w:val="00EA7500"/>
    <w:rsid w:val="00EA77E3"/>
    <w:rsid w:val="00EA7F41"/>
    <w:rsid w:val="00EB1781"/>
    <w:rsid w:val="00EB18A2"/>
    <w:rsid w:val="00EB3381"/>
    <w:rsid w:val="00EB39EE"/>
    <w:rsid w:val="00EB61C2"/>
    <w:rsid w:val="00EC129F"/>
    <w:rsid w:val="00EC15B1"/>
    <w:rsid w:val="00EC3E8B"/>
    <w:rsid w:val="00EC4342"/>
    <w:rsid w:val="00EC4519"/>
    <w:rsid w:val="00EC5FCD"/>
    <w:rsid w:val="00EC6936"/>
    <w:rsid w:val="00EC77F2"/>
    <w:rsid w:val="00EC7EE9"/>
    <w:rsid w:val="00ED083A"/>
    <w:rsid w:val="00ED0C42"/>
    <w:rsid w:val="00ED1367"/>
    <w:rsid w:val="00ED4238"/>
    <w:rsid w:val="00ED5421"/>
    <w:rsid w:val="00ED5F4D"/>
    <w:rsid w:val="00EE24C0"/>
    <w:rsid w:val="00EE5405"/>
    <w:rsid w:val="00EE5710"/>
    <w:rsid w:val="00EF04ED"/>
    <w:rsid w:val="00EF2FF4"/>
    <w:rsid w:val="00EF3D75"/>
    <w:rsid w:val="00EF43FD"/>
    <w:rsid w:val="00EF4BCF"/>
    <w:rsid w:val="00EF798A"/>
    <w:rsid w:val="00F0080E"/>
    <w:rsid w:val="00F010D8"/>
    <w:rsid w:val="00F035EE"/>
    <w:rsid w:val="00F05C05"/>
    <w:rsid w:val="00F06701"/>
    <w:rsid w:val="00F07236"/>
    <w:rsid w:val="00F079C4"/>
    <w:rsid w:val="00F103E6"/>
    <w:rsid w:val="00F114D7"/>
    <w:rsid w:val="00F1269D"/>
    <w:rsid w:val="00F12F97"/>
    <w:rsid w:val="00F14053"/>
    <w:rsid w:val="00F147A2"/>
    <w:rsid w:val="00F14C31"/>
    <w:rsid w:val="00F15947"/>
    <w:rsid w:val="00F16338"/>
    <w:rsid w:val="00F16D1C"/>
    <w:rsid w:val="00F1787F"/>
    <w:rsid w:val="00F211C3"/>
    <w:rsid w:val="00F2192E"/>
    <w:rsid w:val="00F219AF"/>
    <w:rsid w:val="00F21C79"/>
    <w:rsid w:val="00F21E6C"/>
    <w:rsid w:val="00F230C1"/>
    <w:rsid w:val="00F2417A"/>
    <w:rsid w:val="00F25B5F"/>
    <w:rsid w:val="00F307AA"/>
    <w:rsid w:val="00F30C4B"/>
    <w:rsid w:val="00F3180C"/>
    <w:rsid w:val="00F3180E"/>
    <w:rsid w:val="00F339D1"/>
    <w:rsid w:val="00F33EFF"/>
    <w:rsid w:val="00F342DA"/>
    <w:rsid w:val="00F34E17"/>
    <w:rsid w:val="00F35B6E"/>
    <w:rsid w:val="00F36B18"/>
    <w:rsid w:val="00F3720E"/>
    <w:rsid w:val="00F37315"/>
    <w:rsid w:val="00F41292"/>
    <w:rsid w:val="00F41BD9"/>
    <w:rsid w:val="00F41E2B"/>
    <w:rsid w:val="00F46962"/>
    <w:rsid w:val="00F47693"/>
    <w:rsid w:val="00F4789F"/>
    <w:rsid w:val="00F50DD0"/>
    <w:rsid w:val="00F510CE"/>
    <w:rsid w:val="00F519AF"/>
    <w:rsid w:val="00F525DF"/>
    <w:rsid w:val="00F528FF"/>
    <w:rsid w:val="00F54ADF"/>
    <w:rsid w:val="00F551CE"/>
    <w:rsid w:val="00F55486"/>
    <w:rsid w:val="00F55B77"/>
    <w:rsid w:val="00F5609C"/>
    <w:rsid w:val="00F57249"/>
    <w:rsid w:val="00F5750B"/>
    <w:rsid w:val="00F613D4"/>
    <w:rsid w:val="00F613EB"/>
    <w:rsid w:val="00F617B6"/>
    <w:rsid w:val="00F620A3"/>
    <w:rsid w:val="00F650C8"/>
    <w:rsid w:val="00F654BF"/>
    <w:rsid w:val="00F65CC9"/>
    <w:rsid w:val="00F67D3C"/>
    <w:rsid w:val="00F67F77"/>
    <w:rsid w:val="00F7164A"/>
    <w:rsid w:val="00F71971"/>
    <w:rsid w:val="00F74436"/>
    <w:rsid w:val="00F75BF3"/>
    <w:rsid w:val="00F76B20"/>
    <w:rsid w:val="00F80152"/>
    <w:rsid w:val="00F80B94"/>
    <w:rsid w:val="00F80FB7"/>
    <w:rsid w:val="00F81ABB"/>
    <w:rsid w:val="00F828DD"/>
    <w:rsid w:val="00F82E94"/>
    <w:rsid w:val="00F84273"/>
    <w:rsid w:val="00F852A9"/>
    <w:rsid w:val="00F87730"/>
    <w:rsid w:val="00F91BBD"/>
    <w:rsid w:val="00F91FBB"/>
    <w:rsid w:val="00F927B7"/>
    <w:rsid w:val="00F937B6"/>
    <w:rsid w:val="00F94545"/>
    <w:rsid w:val="00F94776"/>
    <w:rsid w:val="00F94C4D"/>
    <w:rsid w:val="00FA08F1"/>
    <w:rsid w:val="00FA13A9"/>
    <w:rsid w:val="00FA1FDC"/>
    <w:rsid w:val="00FA2E85"/>
    <w:rsid w:val="00FA3CFC"/>
    <w:rsid w:val="00FA53E1"/>
    <w:rsid w:val="00FA56BB"/>
    <w:rsid w:val="00FA6FC1"/>
    <w:rsid w:val="00FA7D13"/>
    <w:rsid w:val="00FB0A03"/>
    <w:rsid w:val="00FB0AA9"/>
    <w:rsid w:val="00FB0D7A"/>
    <w:rsid w:val="00FB1202"/>
    <w:rsid w:val="00FB16BB"/>
    <w:rsid w:val="00FB1984"/>
    <w:rsid w:val="00FB2400"/>
    <w:rsid w:val="00FB2C70"/>
    <w:rsid w:val="00FB40EF"/>
    <w:rsid w:val="00FB7148"/>
    <w:rsid w:val="00FC1355"/>
    <w:rsid w:val="00FC16BE"/>
    <w:rsid w:val="00FC4B96"/>
    <w:rsid w:val="00FC4CA7"/>
    <w:rsid w:val="00FC5A59"/>
    <w:rsid w:val="00FC6137"/>
    <w:rsid w:val="00FC681A"/>
    <w:rsid w:val="00FD07F8"/>
    <w:rsid w:val="00FD1952"/>
    <w:rsid w:val="00FD4103"/>
    <w:rsid w:val="00FD4240"/>
    <w:rsid w:val="00FD48F2"/>
    <w:rsid w:val="00FD49F3"/>
    <w:rsid w:val="00FD5F80"/>
    <w:rsid w:val="00FE08D3"/>
    <w:rsid w:val="00FE0C49"/>
    <w:rsid w:val="00FE1A24"/>
    <w:rsid w:val="00FE4B41"/>
    <w:rsid w:val="00FE4F4E"/>
    <w:rsid w:val="00FE6226"/>
    <w:rsid w:val="00FE782E"/>
    <w:rsid w:val="00FF3625"/>
    <w:rsid w:val="00FF377A"/>
    <w:rsid w:val="00FF3E00"/>
    <w:rsid w:val="00FF40A9"/>
    <w:rsid w:val="00FF5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65F9"/>
    <w:rPr>
      <w:rFonts w:ascii="Arial" w:eastAsia="Times New Roman" w:hAnsi="Arial"/>
      <w:b/>
      <w:szCs w:val="24"/>
      <w:lang w:eastAsia="en-US"/>
    </w:rPr>
  </w:style>
  <w:style w:type="paragraph" w:customStyle="1" w:styleId="StyleHeading1H1h1appheading1l1MemoHeading1h11h12h13h">
    <w:name w:val="Style Heading 1H1h1app heading 1l1Memo Heading 1h11h12h13h..."/>
    <w:basedOn w:val="1"/>
    <w:rsid w:val="007D65F9"/>
    <w:pPr>
      <w:keepNext w:val="0"/>
      <w:widowControl w:val="0"/>
      <w:numPr>
        <w:numId w:val="23"/>
      </w:numPr>
    </w:pPr>
    <w:rPr>
      <w:rFonts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65F9"/>
    <w:rPr>
      <w:rFonts w:ascii="Arial" w:eastAsia="Times New Roman" w:hAnsi="Arial"/>
      <w:b/>
      <w:szCs w:val="24"/>
      <w:lang w:eastAsia="en-US"/>
    </w:rPr>
  </w:style>
  <w:style w:type="paragraph" w:customStyle="1" w:styleId="StyleHeading1H1h1appheading1l1MemoHeading1h11h12h13h">
    <w:name w:val="Style Heading 1H1h1app heading 1l1Memo Heading 1h11h12h13h..."/>
    <w:basedOn w:val="1"/>
    <w:rsid w:val="007D65F9"/>
    <w:pPr>
      <w:keepNext w:val="0"/>
      <w:widowControl w:val="0"/>
      <w:numPr>
        <w:numId w:val="23"/>
      </w:numP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9765">
      <w:bodyDiv w:val="1"/>
      <w:marLeft w:val="0"/>
      <w:marRight w:val="0"/>
      <w:marTop w:val="0"/>
      <w:marBottom w:val="0"/>
      <w:divBdr>
        <w:top w:val="none" w:sz="0" w:space="0" w:color="auto"/>
        <w:left w:val="none" w:sz="0" w:space="0" w:color="auto"/>
        <w:bottom w:val="none" w:sz="0" w:space="0" w:color="auto"/>
        <w:right w:val="none" w:sz="0" w:space="0" w:color="auto"/>
      </w:divBdr>
    </w:div>
    <w:div w:id="69666096">
      <w:bodyDiv w:val="1"/>
      <w:marLeft w:val="0"/>
      <w:marRight w:val="0"/>
      <w:marTop w:val="0"/>
      <w:marBottom w:val="0"/>
      <w:divBdr>
        <w:top w:val="none" w:sz="0" w:space="0" w:color="auto"/>
        <w:left w:val="none" w:sz="0" w:space="0" w:color="auto"/>
        <w:bottom w:val="none" w:sz="0" w:space="0" w:color="auto"/>
        <w:right w:val="none" w:sz="0" w:space="0" w:color="auto"/>
      </w:divBdr>
      <w:divsChild>
        <w:div w:id="78185114">
          <w:marLeft w:val="547"/>
          <w:marRight w:val="0"/>
          <w:marTop w:val="115"/>
          <w:marBottom w:val="0"/>
          <w:divBdr>
            <w:top w:val="none" w:sz="0" w:space="0" w:color="auto"/>
            <w:left w:val="none" w:sz="0" w:space="0" w:color="auto"/>
            <w:bottom w:val="none" w:sz="0" w:space="0" w:color="auto"/>
            <w:right w:val="none" w:sz="0" w:space="0" w:color="auto"/>
          </w:divBdr>
        </w:div>
        <w:div w:id="1848132018">
          <w:marLeft w:val="547"/>
          <w:marRight w:val="0"/>
          <w:marTop w:val="115"/>
          <w:marBottom w:val="0"/>
          <w:divBdr>
            <w:top w:val="none" w:sz="0" w:space="0" w:color="auto"/>
            <w:left w:val="none" w:sz="0" w:space="0" w:color="auto"/>
            <w:bottom w:val="none" w:sz="0" w:space="0" w:color="auto"/>
            <w:right w:val="none" w:sz="0" w:space="0" w:color="auto"/>
          </w:divBdr>
        </w:div>
        <w:div w:id="218129676">
          <w:marLeft w:val="1166"/>
          <w:marRight w:val="0"/>
          <w:marTop w:val="96"/>
          <w:marBottom w:val="0"/>
          <w:divBdr>
            <w:top w:val="none" w:sz="0" w:space="0" w:color="auto"/>
            <w:left w:val="none" w:sz="0" w:space="0" w:color="auto"/>
            <w:bottom w:val="none" w:sz="0" w:space="0" w:color="auto"/>
            <w:right w:val="none" w:sz="0" w:space="0" w:color="auto"/>
          </w:divBdr>
        </w:div>
        <w:div w:id="897519454">
          <w:marLeft w:val="1166"/>
          <w:marRight w:val="0"/>
          <w:marTop w:val="96"/>
          <w:marBottom w:val="0"/>
          <w:divBdr>
            <w:top w:val="none" w:sz="0" w:space="0" w:color="auto"/>
            <w:left w:val="none" w:sz="0" w:space="0" w:color="auto"/>
            <w:bottom w:val="none" w:sz="0" w:space="0" w:color="auto"/>
            <w:right w:val="none" w:sz="0" w:space="0" w:color="auto"/>
          </w:divBdr>
        </w:div>
        <w:div w:id="668796739">
          <w:marLeft w:val="1166"/>
          <w:marRight w:val="0"/>
          <w:marTop w:val="96"/>
          <w:marBottom w:val="0"/>
          <w:divBdr>
            <w:top w:val="none" w:sz="0" w:space="0" w:color="auto"/>
            <w:left w:val="none" w:sz="0" w:space="0" w:color="auto"/>
            <w:bottom w:val="none" w:sz="0" w:space="0" w:color="auto"/>
            <w:right w:val="none" w:sz="0" w:space="0" w:color="auto"/>
          </w:divBdr>
        </w:div>
        <w:div w:id="1516530899">
          <w:marLeft w:val="547"/>
          <w:marRight w:val="0"/>
          <w:marTop w:val="134"/>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604261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4674474">
      <w:bodyDiv w:val="1"/>
      <w:marLeft w:val="0"/>
      <w:marRight w:val="0"/>
      <w:marTop w:val="0"/>
      <w:marBottom w:val="0"/>
      <w:divBdr>
        <w:top w:val="none" w:sz="0" w:space="0" w:color="auto"/>
        <w:left w:val="none" w:sz="0" w:space="0" w:color="auto"/>
        <w:bottom w:val="none" w:sz="0" w:space="0" w:color="auto"/>
        <w:right w:val="none" w:sz="0" w:space="0" w:color="auto"/>
      </w:divBdr>
    </w:div>
    <w:div w:id="277638807">
      <w:bodyDiv w:val="1"/>
      <w:marLeft w:val="0"/>
      <w:marRight w:val="0"/>
      <w:marTop w:val="0"/>
      <w:marBottom w:val="0"/>
      <w:divBdr>
        <w:top w:val="none" w:sz="0" w:space="0" w:color="auto"/>
        <w:left w:val="none" w:sz="0" w:space="0" w:color="auto"/>
        <w:bottom w:val="none" w:sz="0" w:space="0" w:color="auto"/>
        <w:right w:val="none" w:sz="0" w:space="0" w:color="auto"/>
      </w:divBdr>
    </w:div>
    <w:div w:id="281114032">
      <w:bodyDiv w:val="1"/>
      <w:marLeft w:val="0"/>
      <w:marRight w:val="0"/>
      <w:marTop w:val="0"/>
      <w:marBottom w:val="0"/>
      <w:divBdr>
        <w:top w:val="none" w:sz="0" w:space="0" w:color="auto"/>
        <w:left w:val="none" w:sz="0" w:space="0" w:color="auto"/>
        <w:bottom w:val="none" w:sz="0" w:space="0" w:color="auto"/>
        <w:right w:val="none" w:sz="0" w:space="0" w:color="auto"/>
      </w:divBdr>
      <w:divsChild>
        <w:div w:id="1159232753">
          <w:marLeft w:val="1800"/>
          <w:marRight w:val="0"/>
          <w:marTop w:val="0"/>
          <w:marBottom w:val="0"/>
          <w:divBdr>
            <w:top w:val="none" w:sz="0" w:space="0" w:color="auto"/>
            <w:left w:val="none" w:sz="0" w:space="0" w:color="auto"/>
            <w:bottom w:val="none" w:sz="0" w:space="0" w:color="auto"/>
            <w:right w:val="none" w:sz="0" w:space="0" w:color="auto"/>
          </w:divBdr>
        </w:div>
        <w:div w:id="330447289">
          <w:marLeft w:val="1800"/>
          <w:marRight w:val="0"/>
          <w:marTop w:val="0"/>
          <w:marBottom w:val="0"/>
          <w:divBdr>
            <w:top w:val="none" w:sz="0" w:space="0" w:color="auto"/>
            <w:left w:val="none" w:sz="0" w:space="0" w:color="auto"/>
            <w:bottom w:val="none" w:sz="0" w:space="0" w:color="auto"/>
            <w:right w:val="none" w:sz="0" w:space="0" w:color="auto"/>
          </w:divBdr>
        </w:div>
      </w:divsChild>
    </w:div>
    <w:div w:id="293869189">
      <w:bodyDiv w:val="1"/>
      <w:marLeft w:val="0"/>
      <w:marRight w:val="0"/>
      <w:marTop w:val="0"/>
      <w:marBottom w:val="0"/>
      <w:divBdr>
        <w:top w:val="none" w:sz="0" w:space="0" w:color="auto"/>
        <w:left w:val="none" w:sz="0" w:space="0" w:color="auto"/>
        <w:bottom w:val="none" w:sz="0" w:space="0" w:color="auto"/>
        <w:right w:val="none" w:sz="0" w:space="0" w:color="auto"/>
      </w:divBdr>
      <w:divsChild>
        <w:div w:id="529955306">
          <w:marLeft w:val="547"/>
          <w:marRight w:val="0"/>
          <w:marTop w:val="115"/>
          <w:marBottom w:val="0"/>
          <w:divBdr>
            <w:top w:val="none" w:sz="0" w:space="0" w:color="auto"/>
            <w:left w:val="none" w:sz="0" w:space="0" w:color="auto"/>
            <w:bottom w:val="none" w:sz="0" w:space="0" w:color="auto"/>
            <w:right w:val="none" w:sz="0" w:space="0" w:color="auto"/>
          </w:divBdr>
        </w:div>
        <w:div w:id="599870676">
          <w:marLeft w:val="547"/>
          <w:marRight w:val="0"/>
          <w:marTop w:val="115"/>
          <w:marBottom w:val="0"/>
          <w:divBdr>
            <w:top w:val="none" w:sz="0" w:space="0" w:color="auto"/>
            <w:left w:val="none" w:sz="0" w:space="0" w:color="auto"/>
            <w:bottom w:val="none" w:sz="0" w:space="0" w:color="auto"/>
            <w:right w:val="none" w:sz="0" w:space="0" w:color="auto"/>
          </w:divBdr>
        </w:div>
        <w:div w:id="463815934">
          <w:marLeft w:val="1166"/>
          <w:marRight w:val="0"/>
          <w:marTop w:val="96"/>
          <w:marBottom w:val="0"/>
          <w:divBdr>
            <w:top w:val="none" w:sz="0" w:space="0" w:color="auto"/>
            <w:left w:val="none" w:sz="0" w:space="0" w:color="auto"/>
            <w:bottom w:val="none" w:sz="0" w:space="0" w:color="auto"/>
            <w:right w:val="none" w:sz="0" w:space="0" w:color="auto"/>
          </w:divBdr>
        </w:div>
        <w:div w:id="867524652">
          <w:marLeft w:val="1166"/>
          <w:marRight w:val="0"/>
          <w:marTop w:val="96"/>
          <w:marBottom w:val="0"/>
          <w:divBdr>
            <w:top w:val="none" w:sz="0" w:space="0" w:color="auto"/>
            <w:left w:val="none" w:sz="0" w:space="0" w:color="auto"/>
            <w:bottom w:val="none" w:sz="0" w:space="0" w:color="auto"/>
            <w:right w:val="none" w:sz="0" w:space="0" w:color="auto"/>
          </w:divBdr>
        </w:div>
        <w:div w:id="1016347582">
          <w:marLeft w:val="1166"/>
          <w:marRight w:val="0"/>
          <w:marTop w:val="96"/>
          <w:marBottom w:val="0"/>
          <w:divBdr>
            <w:top w:val="none" w:sz="0" w:space="0" w:color="auto"/>
            <w:left w:val="none" w:sz="0" w:space="0" w:color="auto"/>
            <w:bottom w:val="none" w:sz="0" w:space="0" w:color="auto"/>
            <w:right w:val="none" w:sz="0" w:space="0" w:color="auto"/>
          </w:divBdr>
        </w:div>
      </w:divsChild>
    </w:div>
    <w:div w:id="316416898">
      <w:bodyDiv w:val="1"/>
      <w:marLeft w:val="0"/>
      <w:marRight w:val="0"/>
      <w:marTop w:val="0"/>
      <w:marBottom w:val="0"/>
      <w:divBdr>
        <w:top w:val="none" w:sz="0" w:space="0" w:color="auto"/>
        <w:left w:val="none" w:sz="0" w:space="0" w:color="auto"/>
        <w:bottom w:val="none" w:sz="0" w:space="0" w:color="auto"/>
        <w:right w:val="none" w:sz="0" w:space="0" w:color="auto"/>
      </w:divBdr>
      <w:divsChild>
        <w:div w:id="1733044134">
          <w:marLeft w:val="547"/>
          <w:marRight w:val="0"/>
          <w:marTop w:val="154"/>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010">
      <w:bodyDiv w:val="1"/>
      <w:marLeft w:val="0"/>
      <w:marRight w:val="0"/>
      <w:marTop w:val="0"/>
      <w:marBottom w:val="0"/>
      <w:divBdr>
        <w:top w:val="none" w:sz="0" w:space="0" w:color="auto"/>
        <w:left w:val="none" w:sz="0" w:space="0" w:color="auto"/>
        <w:bottom w:val="none" w:sz="0" w:space="0" w:color="auto"/>
        <w:right w:val="none" w:sz="0" w:space="0" w:color="auto"/>
      </w:divBdr>
    </w:div>
    <w:div w:id="442309195">
      <w:bodyDiv w:val="1"/>
      <w:marLeft w:val="0"/>
      <w:marRight w:val="0"/>
      <w:marTop w:val="0"/>
      <w:marBottom w:val="0"/>
      <w:divBdr>
        <w:top w:val="none" w:sz="0" w:space="0" w:color="auto"/>
        <w:left w:val="none" w:sz="0" w:space="0" w:color="auto"/>
        <w:bottom w:val="none" w:sz="0" w:space="0" w:color="auto"/>
        <w:right w:val="none" w:sz="0" w:space="0" w:color="auto"/>
      </w:divBdr>
      <w:divsChild>
        <w:div w:id="1293944911">
          <w:marLeft w:val="850"/>
          <w:marRight w:val="0"/>
          <w:marTop w:val="0"/>
          <w:marBottom w:val="0"/>
          <w:divBdr>
            <w:top w:val="none" w:sz="0" w:space="0" w:color="auto"/>
            <w:left w:val="none" w:sz="0" w:space="0" w:color="auto"/>
            <w:bottom w:val="none" w:sz="0" w:space="0" w:color="auto"/>
            <w:right w:val="none" w:sz="0" w:space="0" w:color="auto"/>
          </w:divBdr>
        </w:div>
        <w:div w:id="956445944">
          <w:marLeft w:val="1699"/>
          <w:marRight w:val="0"/>
          <w:marTop w:val="0"/>
          <w:marBottom w:val="0"/>
          <w:divBdr>
            <w:top w:val="none" w:sz="0" w:space="0" w:color="auto"/>
            <w:left w:val="none" w:sz="0" w:space="0" w:color="auto"/>
            <w:bottom w:val="none" w:sz="0" w:space="0" w:color="auto"/>
            <w:right w:val="none" w:sz="0" w:space="0" w:color="auto"/>
          </w:divBdr>
        </w:div>
        <w:div w:id="715542979">
          <w:marLeft w:val="850"/>
          <w:marRight w:val="0"/>
          <w:marTop w:val="0"/>
          <w:marBottom w:val="0"/>
          <w:divBdr>
            <w:top w:val="none" w:sz="0" w:space="0" w:color="auto"/>
            <w:left w:val="none" w:sz="0" w:space="0" w:color="auto"/>
            <w:bottom w:val="none" w:sz="0" w:space="0" w:color="auto"/>
            <w:right w:val="none" w:sz="0" w:space="0" w:color="auto"/>
          </w:divBdr>
        </w:div>
        <w:div w:id="452139968">
          <w:marLeft w:val="1699"/>
          <w:marRight w:val="0"/>
          <w:marTop w:val="0"/>
          <w:marBottom w:val="0"/>
          <w:divBdr>
            <w:top w:val="none" w:sz="0" w:space="0" w:color="auto"/>
            <w:left w:val="none" w:sz="0" w:space="0" w:color="auto"/>
            <w:bottom w:val="none" w:sz="0" w:space="0" w:color="auto"/>
            <w:right w:val="none" w:sz="0" w:space="0" w:color="auto"/>
          </w:divBdr>
        </w:div>
        <w:div w:id="918446998">
          <w:marLeft w:val="850"/>
          <w:marRight w:val="0"/>
          <w:marTop w:val="0"/>
          <w:marBottom w:val="0"/>
          <w:divBdr>
            <w:top w:val="none" w:sz="0" w:space="0" w:color="auto"/>
            <w:left w:val="none" w:sz="0" w:space="0" w:color="auto"/>
            <w:bottom w:val="none" w:sz="0" w:space="0" w:color="auto"/>
            <w:right w:val="none" w:sz="0" w:space="0" w:color="auto"/>
          </w:divBdr>
        </w:div>
        <w:div w:id="1959603983">
          <w:marLeft w:val="1699"/>
          <w:marRight w:val="0"/>
          <w:marTop w:val="0"/>
          <w:marBottom w:val="0"/>
          <w:divBdr>
            <w:top w:val="none" w:sz="0" w:space="0" w:color="auto"/>
            <w:left w:val="none" w:sz="0" w:space="0" w:color="auto"/>
            <w:bottom w:val="none" w:sz="0" w:space="0" w:color="auto"/>
            <w:right w:val="none" w:sz="0" w:space="0" w:color="auto"/>
          </w:divBdr>
        </w:div>
        <w:div w:id="1139490379">
          <w:marLeft w:val="2261"/>
          <w:marRight w:val="0"/>
          <w:marTop w:val="0"/>
          <w:marBottom w:val="0"/>
          <w:divBdr>
            <w:top w:val="none" w:sz="0" w:space="0" w:color="auto"/>
            <w:left w:val="none" w:sz="0" w:space="0" w:color="auto"/>
            <w:bottom w:val="none" w:sz="0" w:space="0" w:color="auto"/>
            <w:right w:val="none" w:sz="0" w:space="0" w:color="auto"/>
          </w:divBdr>
        </w:div>
        <w:div w:id="1683437991">
          <w:marLeft w:val="3197"/>
          <w:marRight w:val="0"/>
          <w:marTop w:val="0"/>
          <w:marBottom w:val="0"/>
          <w:divBdr>
            <w:top w:val="none" w:sz="0" w:space="0" w:color="auto"/>
            <w:left w:val="none" w:sz="0" w:space="0" w:color="auto"/>
            <w:bottom w:val="none" w:sz="0" w:space="0" w:color="auto"/>
            <w:right w:val="none" w:sz="0" w:space="0" w:color="auto"/>
          </w:divBdr>
        </w:div>
        <w:div w:id="1490517486">
          <w:marLeft w:val="3197"/>
          <w:marRight w:val="0"/>
          <w:marTop w:val="0"/>
          <w:marBottom w:val="0"/>
          <w:divBdr>
            <w:top w:val="none" w:sz="0" w:space="0" w:color="auto"/>
            <w:left w:val="none" w:sz="0" w:space="0" w:color="auto"/>
            <w:bottom w:val="none" w:sz="0" w:space="0" w:color="auto"/>
            <w:right w:val="none" w:sz="0" w:space="0" w:color="auto"/>
          </w:divBdr>
        </w:div>
        <w:div w:id="1396393667">
          <w:marLeft w:val="2261"/>
          <w:marRight w:val="0"/>
          <w:marTop w:val="0"/>
          <w:marBottom w:val="0"/>
          <w:divBdr>
            <w:top w:val="none" w:sz="0" w:space="0" w:color="auto"/>
            <w:left w:val="none" w:sz="0" w:space="0" w:color="auto"/>
            <w:bottom w:val="none" w:sz="0" w:space="0" w:color="auto"/>
            <w:right w:val="none" w:sz="0" w:space="0" w:color="auto"/>
          </w:divBdr>
        </w:div>
        <w:div w:id="1758792184">
          <w:marLeft w:val="3197"/>
          <w:marRight w:val="0"/>
          <w:marTop w:val="0"/>
          <w:marBottom w:val="0"/>
          <w:divBdr>
            <w:top w:val="none" w:sz="0" w:space="0" w:color="auto"/>
            <w:left w:val="none" w:sz="0" w:space="0" w:color="auto"/>
            <w:bottom w:val="none" w:sz="0" w:space="0" w:color="auto"/>
            <w:right w:val="none" w:sz="0" w:space="0" w:color="auto"/>
          </w:divBdr>
        </w:div>
        <w:div w:id="246229583">
          <w:marLeft w:val="3197"/>
          <w:marRight w:val="0"/>
          <w:marTop w:val="0"/>
          <w:marBottom w:val="0"/>
          <w:divBdr>
            <w:top w:val="none" w:sz="0" w:space="0" w:color="auto"/>
            <w:left w:val="none" w:sz="0" w:space="0" w:color="auto"/>
            <w:bottom w:val="none" w:sz="0" w:space="0" w:color="auto"/>
            <w:right w:val="none" w:sz="0" w:space="0" w:color="auto"/>
          </w:divBdr>
        </w:div>
      </w:divsChild>
    </w:div>
    <w:div w:id="465048839">
      <w:bodyDiv w:val="1"/>
      <w:marLeft w:val="0"/>
      <w:marRight w:val="0"/>
      <w:marTop w:val="0"/>
      <w:marBottom w:val="0"/>
      <w:divBdr>
        <w:top w:val="none" w:sz="0" w:space="0" w:color="auto"/>
        <w:left w:val="none" w:sz="0" w:space="0" w:color="auto"/>
        <w:bottom w:val="none" w:sz="0" w:space="0" w:color="auto"/>
        <w:right w:val="none" w:sz="0" w:space="0" w:color="auto"/>
      </w:divBdr>
      <w:divsChild>
        <w:div w:id="277642816">
          <w:marLeft w:val="1166"/>
          <w:marRight w:val="0"/>
          <w:marTop w:val="0"/>
          <w:marBottom w:val="0"/>
          <w:divBdr>
            <w:top w:val="none" w:sz="0" w:space="0" w:color="auto"/>
            <w:left w:val="none" w:sz="0" w:space="0" w:color="auto"/>
            <w:bottom w:val="none" w:sz="0" w:space="0" w:color="auto"/>
            <w:right w:val="none" w:sz="0" w:space="0" w:color="auto"/>
          </w:divBdr>
        </w:div>
        <w:div w:id="1041587204">
          <w:marLeft w:val="1166"/>
          <w:marRight w:val="0"/>
          <w:marTop w:val="0"/>
          <w:marBottom w:val="180"/>
          <w:divBdr>
            <w:top w:val="none" w:sz="0" w:space="0" w:color="auto"/>
            <w:left w:val="none" w:sz="0" w:space="0" w:color="auto"/>
            <w:bottom w:val="none" w:sz="0" w:space="0" w:color="auto"/>
            <w:right w:val="none" w:sz="0" w:space="0" w:color="auto"/>
          </w:divBdr>
        </w:div>
      </w:divsChild>
    </w:div>
    <w:div w:id="489180709">
      <w:bodyDiv w:val="1"/>
      <w:marLeft w:val="0"/>
      <w:marRight w:val="0"/>
      <w:marTop w:val="0"/>
      <w:marBottom w:val="0"/>
      <w:divBdr>
        <w:top w:val="none" w:sz="0" w:space="0" w:color="auto"/>
        <w:left w:val="none" w:sz="0" w:space="0" w:color="auto"/>
        <w:bottom w:val="none" w:sz="0" w:space="0" w:color="auto"/>
        <w:right w:val="none" w:sz="0" w:space="0" w:color="auto"/>
      </w:divBdr>
      <w:divsChild>
        <w:div w:id="1375960077">
          <w:marLeft w:val="1166"/>
          <w:marRight w:val="0"/>
          <w:marTop w:val="91"/>
          <w:marBottom w:val="0"/>
          <w:divBdr>
            <w:top w:val="none" w:sz="0" w:space="0" w:color="auto"/>
            <w:left w:val="none" w:sz="0" w:space="0" w:color="auto"/>
            <w:bottom w:val="none" w:sz="0" w:space="0" w:color="auto"/>
            <w:right w:val="none" w:sz="0" w:space="0" w:color="auto"/>
          </w:divBdr>
        </w:div>
      </w:divsChild>
    </w:div>
    <w:div w:id="490635044">
      <w:bodyDiv w:val="1"/>
      <w:marLeft w:val="0"/>
      <w:marRight w:val="0"/>
      <w:marTop w:val="0"/>
      <w:marBottom w:val="0"/>
      <w:divBdr>
        <w:top w:val="none" w:sz="0" w:space="0" w:color="auto"/>
        <w:left w:val="none" w:sz="0" w:space="0" w:color="auto"/>
        <w:bottom w:val="none" w:sz="0" w:space="0" w:color="auto"/>
        <w:right w:val="none" w:sz="0" w:space="0" w:color="auto"/>
      </w:divBdr>
      <w:divsChild>
        <w:div w:id="589850317">
          <w:marLeft w:val="1166"/>
          <w:marRight w:val="0"/>
          <w:marTop w:val="0"/>
          <w:marBottom w:val="0"/>
          <w:divBdr>
            <w:top w:val="none" w:sz="0" w:space="0" w:color="auto"/>
            <w:left w:val="none" w:sz="0" w:space="0" w:color="auto"/>
            <w:bottom w:val="none" w:sz="0" w:space="0" w:color="auto"/>
            <w:right w:val="none" w:sz="0" w:space="0" w:color="auto"/>
          </w:divBdr>
        </w:div>
        <w:div w:id="581374423">
          <w:marLeft w:val="1800"/>
          <w:marRight w:val="0"/>
          <w:marTop w:val="0"/>
          <w:marBottom w:val="0"/>
          <w:divBdr>
            <w:top w:val="none" w:sz="0" w:space="0" w:color="auto"/>
            <w:left w:val="none" w:sz="0" w:space="0" w:color="auto"/>
            <w:bottom w:val="none" w:sz="0" w:space="0" w:color="auto"/>
            <w:right w:val="none" w:sz="0" w:space="0" w:color="auto"/>
          </w:divBdr>
        </w:div>
        <w:div w:id="987127210">
          <w:marLeft w:val="1800"/>
          <w:marRight w:val="0"/>
          <w:marTop w:val="0"/>
          <w:marBottom w:val="0"/>
          <w:divBdr>
            <w:top w:val="none" w:sz="0" w:space="0" w:color="auto"/>
            <w:left w:val="none" w:sz="0" w:space="0" w:color="auto"/>
            <w:bottom w:val="none" w:sz="0" w:space="0" w:color="auto"/>
            <w:right w:val="none" w:sz="0" w:space="0" w:color="auto"/>
          </w:divBdr>
        </w:div>
        <w:div w:id="378096783">
          <w:marLeft w:val="1166"/>
          <w:marRight w:val="0"/>
          <w:marTop w:val="0"/>
          <w:marBottom w:val="0"/>
          <w:divBdr>
            <w:top w:val="none" w:sz="0" w:space="0" w:color="auto"/>
            <w:left w:val="none" w:sz="0" w:space="0" w:color="auto"/>
            <w:bottom w:val="none" w:sz="0" w:space="0" w:color="auto"/>
            <w:right w:val="none" w:sz="0" w:space="0" w:color="auto"/>
          </w:divBdr>
        </w:div>
        <w:div w:id="1461417929">
          <w:marLeft w:val="1800"/>
          <w:marRight w:val="0"/>
          <w:marTop w:val="0"/>
          <w:marBottom w:val="0"/>
          <w:divBdr>
            <w:top w:val="none" w:sz="0" w:space="0" w:color="auto"/>
            <w:left w:val="none" w:sz="0" w:space="0" w:color="auto"/>
            <w:bottom w:val="none" w:sz="0" w:space="0" w:color="auto"/>
            <w:right w:val="none" w:sz="0" w:space="0" w:color="auto"/>
          </w:divBdr>
        </w:div>
        <w:div w:id="1296522142">
          <w:marLeft w:val="2160"/>
          <w:marRight w:val="0"/>
          <w:marTop w:val="0"/>
          <w:marBottom w:val="0"/>
          <w:divBdr>
            <w:top w:val="none" w:sz="0" w:space="0" w:color="auto"/>
            <w:left w:val="none" w:sz="0" w:space="0" w:color="auto"/>
            <w:bottom w:val="none" w:sz="0" w:space="0" w:color="auto"/>
            <w:right w:val="none" w:sz="0" w:space="0" w:color="auto"/>
          </w:divBdr>
        </w:div>
        <w:div w:id="1509128449">
          <w:marLeft w:val="2160"/>
          <w:marRight w:val="0"/>
          <w:marTop w:val="0"/>
          <w:marBottom w:val="0"/>
          <w:divBdr>
            <w:top w:val="none" w:sz="0" w:space="0" w:color="auto"/>
            <w:left w:val="none" w:sz="0" w:space="0" w:color="auto"/>
            <w:bottom w:val="none" w:sz="0" w:space="0" w:color="auto"/>
            <w:right w:val="none" w:sz="0" w:space="0" w:color="auto"/>
          </w:divBdr>
        </w:div>
        <w:div w:id="774522261">
          <w:marLeft w:val="2160"/>
          <w:marRight w:val="0"/>
          <w:marTop w:val="0"/>
          <w:marBottom w:val="0"/>
          <w:divBdr>
            <w:top w:val="none" w:sz="0" w:space="0" w:color="auto"/>
            <w:left w:val="none" w:sz="0" w:space="0" w:color="auto"/>
            <w:bottom w:val="none" w:sz="0" w:space="0" w:color="auto"/>
            <w:right w:val="none" w:sz="0" w:space="0" w:color="auto"/>
          </w:divBdr>
        </w:div>
        <w:div w:id="63339548">
          <w:marLeft w:val="1800"/>
          <w:marRight w:val="0"/>
          <w:marTop w:val="0"/>
          <w:marBottom w:val="0"/>
          <w:divBdr>
            <w:top w:val="none" w:sz="0" w:space="0" w:color="auto"/>
            <w:left w:val="none" w:sz="0" w:space="0" w:color="auto"/>
            <w:bottom w:val="none" w:sz="0" w:space="0" w:color="auto"/>
            <w:right w:val="none" w:sz="0" w:space="0" w:color="auto"/>
          </w:divBdr>
        </w:div>
        <w:div w:id="718238352">
          <w:marLeft w:val="1166"/>
          <w:marRight w:val="0"/>
          <w:marTop w:val="0"/>
          <w:marBottom w:val="0"/>
          <w:divBdr>
            <w:top w:val="none" w:sz="0" w:space="0" w:color="auto"/>
            <w:left w:val="none" w:sz="0" w:space="0" w:color="auto"/>
            <w:bottom w:val="none" w:sz="0" w:space="0" w:color="auto"/>
            <w:right w:val="none" w:sz="0" w:space="0" w:color="auto"/>
          </w:divBdr>
        </w:div>
      </w:divsChild>
    </w:div>
    <w:div w:id="520701191">
      <w:bodyDiv w:val="1"/>
      <w:marLeft w:val="0"/>
      <w:marRight w:val="0"/>
      <w:marTop w:val="0"/>
      <w:marBottom w:val="0"/>
      <w:divBdr>
        <w:top w:val="none" w:sz="0" w:space="0" w:color="auto"/>
        <w:left w:val="none" w:sz="0" w:space="0" w:color="auto"/>
        <w:bottom w:val="none" w:sz="0" w:space="0" w:color="auto"/>
        <w:right w:val="none" w:sz="0" w:space="0" w:color="auto"/>
      </w:divBdr>
      <w:divsChild>
        <w:div w:id="1656563740">
          <w:marLeft w:val="547"/>
          <w:marRight w:val="0"/>
          <w:marTop w:val="0"/>
          <w:marBottom w:val="0"/>
          <w:divBdr>
            <w:top w:val="none" w:sz="0" w:space="0" w:color="auto"/>
            <w:left w:val="none" w:sz="0" w:space="0" w:color="auto"/>
            <w:bottom w:val="none" w:sz="0" w:space="0" w:color="auto"/>
            <w:right w:val="none" w:sz="0" w:space="0" w:color="auto"/>
          </w:divBdr>
        </w:div>
        <w:div w:id="1302492474">
          <w:marLeft w:val="547"/>
          <w:marRight w:val="0"/>
          <w:marTop w:val="0"/>
          <w:marBottom w:val="0"/>
          <w:divBdr>
            <w:top w:val="none" w:sz="0" w:space="0" w:color="auto"/>
            <w:left w:val="none" w:sz="0" w:space="0" w:color="auto"/>
            <w:bottom w:val="none" w:sz="0" w:space="0" w:color="auto"/>
            <w:right w:val="none" w:sz="0" w:space="0" w:color="auto"/>
          </w:divBdr>
        </w:div>
        <w:div w:id="114446965">
          <w:marLeft w:val="547"/>
          <w:marRight w:val="0"/>
          <w:marTop w:val="0"/>
          <w:marBottom w:val="0"/>
          <w:divBdr>
            <w:top w:val="none" w:sz="0" w:space="0" w:color="auto"/>
            <w:left w:val="none" w:sz="0" w:space="0" w:color="auto"/>
            <w:bottom w:val="none" w:sz="0" w:space="0" w:color="auto"/>
            <w:right w:val="none" w:sz="0" w:space="0" w:color="auto"/>
          </w:divBdr>
        </w:div>
        <w:div w:id="1888684337">
          <w:marLeft w:val="547"/>
          <w:marRight w:val="0"/>
          <w:marTop w:val="0"/>
          <w:marBottom w:val="0"/>
          <w:divBdr>
            <w:top w:val="none" w:sz="0" w:space="0" w:color="auto"/>
            <w:left w:val="none" w:sz="0" w:space="0" w:color="auto"/>
            <w:bottom w:val="none" w:sz="0" w:space="0" w:color="auto"/>
            <w:right w:val="none" w:sz="0" w:space="0" w:color="auto"/>
          </w:divBdr>
        </w:div>
      </w:divsChild>
    </w:div>
    <w:div w:id="529026955">
      <w:bodyDiv w:val="1"/>
      <w:marLeft w:val="0"/>
      <w:marRight w:val="0"/>
      <w:marTop w:val="0"/>
      <w:marBottom w:val="0"/>
      <w:divBdr>
        <w:top w:val="none" w:sz="0" w:space="0" w:color="auto"/>
        <w:left w:val="none" w:sz="0" w:space="0" w:color="auto"/>
        <w:bottom w:val="none" w:sz="0" w:space="0" w:color="auto"/>
        <w:right w:val="none" w:sz="0" w:space="0" w:color="auto"/>
      </w:divBdr>
      <w:divsChild>
        <w:div w:id="1055545461">
          <w:marLeft w:val="749"/>
          <w:marRight w:val="0"/>
          <w:marTop w:val="200"/>
          <w:marBottom w:val="0"/>
          <w:divBdr>
            <w:top w:val="none" w:sz="0" w:space="0" w:color="auto"/>
            <w:left w:val="none" w:sz="0" w:space="0" w:color="auto"/>
            <w:bottom w:val="none" w:sz="0" w:space="0" w:color="auto"/>
            <w:right w:val="none" w:sz="0" w:space="0" w:color="auto"/>
          </w:divBdr>
        </w:div>
        <w:div w:id="1061362631">
          <w:marLeft w:val="1757"/>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9310408">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96143">
      <w:bodyDiv w:val="1"/>
      <w:marLeft w:val="0"/>
      <w:marRight w:val="0"/>
      <w:marTop w:val="0"/>
      <w:marBottom w:val="0"/>
      <w:divBdr>
        <w:top w:val="none" w:sz="0" w:space="0" w:color="auto"/>
        <w:left w:val="none" w:sz="0" w:space="0" w:color="auto"/>
        <w:bottom w:val="none" w:sz="0" w:space="0" w:color="auto"/>
        <w:right w:val="none" w:sz="0" w:space="0" w:color="auto"/>
      </w:divBdr>
      <w:divsChild>
        <w:div w:id="1251548066">
          <w:marLeft w:val="547"/>
          <w:marRight w:val="0"/>
          <w:marTop w:val="96"/>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6338247">
      <w:bodyDiv w:val="1"/>
      <w:marLeft w:val="0"/>
      <w:marRight w:val="0"/>
      <w:marTop w:val="0"/>
      <w:marBottom w:val="0"/>
      <w:divBdr>
        <w:top w:val="none" w:sz="0" w:space="0" w:color="auto"/>
        <w:left w:val="none" w:sz="0" w:space="0" w:color="auto"/>
        <w:bottom w:val="none" w:sz="0" w:space="0" w:color="auto"/>
        <w:right w:val="none" w:sz="0" w:space="0" w:color="auto"/>
      </w:divBdr>
      <w:divsChild>
        <w:div w:id="1592615767">
          <w:marLeft w:val="0"/>
          <w:marRight w:val="0"/>
          <w:marTop w:val="200"/>
          <w:marBottom w:val="0"/>
          <w:divBdr>
            <w:top w:val="none" w:sz="0" w:space="0" w:color="auto"/>
            <w:left w:val="none" w:sz="0" w:space="0" w:color="auto"/>
            <w:bottom w:val="none" w:sz="0" w:space="0" w:color="auto"/>
            <w:right w:val="none" w:sz="0" w:space="0" w:color="auto"/>
          </w:divBdr>
        </w:div>
        <w:div w:id="472067747">
          <w:marLeft w:val="0"/>
          <w:marRight w:val="0"/>
          <w:marTop w:val="200"/>
          <w:marBottom w:val="0"/>
          <w:divBdr>
            <w:top w:val="none" w:sz="0" w:space="0" w:color="auto"/>
            <w:left w:val="none" w:sz="0" w:space="0" w:color="auto"/>
            <w:bottom w:val="none" w:sz="0" w:space="0" w:color="auto"/>
            <w:right w:val="none" w:sz="0" w:space="0" w:color="auto"/>
          </w:divBdr>
        </w:div>
      </w:divsChild>
    </w:div>
    <w:div w:id="849027864">
      <w:bodyDiv w:val="1"/>
      <w:marLeft w:val="0"/>
      <w:marRight w:val="0"/>
      <w:marTop w:val="0"/>
      <w:marBottom w:val="0"/>
      <w:divBdr>
        <w:top w:val="none" w:sz="0" w:space="0" w:color="auto"/>
        <w:left w:val="none" w:sz="0" w:space="0" w:color="auto"/>
        <w:bottom w:val="none" w:sz="0" w:space="0" w:color="auto"/>
        <w:right w:val="none" w:sz="0" w:space="0" w:color="auto"/>
      </w:divBdr>
      <w:divsChild>
        <w:div w:id="1841579886">
          <w:marLeft w:val="850"/>
          <w:marRight w:val="0"/>
          <w:marTop w:val="0"/>
          <w:marBottom w:val="0"/>
          <w:divBdr>
            <w:top w:val="none" w:sz="0" w:space="0" w:color="auto"/>
            <w:left w:val="none" w:sz="0" w:space="0" w:color="auto"/>
            <w:bottom w:val="none" w:sz="0" w:space="0" w:color="auto"/>
            <w:right w:val="none" w:sz="0" w:space="0" w:color="auto"/>
          </w:divBdr>
        </w:div>
        <w:div w:id="915868312">
          <w:marLeft w:val="2261"/>
          <w:marRight w:val="0"/>
          <w:marTop w:val="0"/>
          <w:marBottom w:val="0"/>
          <w:divBdr>
            <w:top w:val="none" w:sz="0" w:space="0" w:color="auto"/>
            <w:left w:val="none" w:sz="0" w:space="0" w:color="auto"/>
            <w:bottom w:val="none" w:sz="0" w:space="0" w:color="auto"/>
            <w:right w:val="none" w:sz="0" w:space="0" w:color="auto"/>
          </w:divBdr>
        </w:div>
        <w:div w:id="1740513190">
          <w:marLeft w:val="850"/>
          <w:marRight w:val="0"/>
          <w:marTop w:val="0"/>
          <w:marBottom w:val="0"/>
          <w:divBdr>
            <w:top w:val="none" w:sz="0" w:space="0" w:color="auto"/>
            <w:left w:val="none" w:sz="0" w:space="0" w:color="auto"/>
            <w:bottom w:val="none" w:sz="0" w:space="0" w:color="auto"/>
            <w:right w:val="none" w:sz="0" w:space="0" w:color="auto"/>
          </w:divBdr>
        </w:div>
        <w:div w:id="112329125">
          <w:marLeft w:val="2261"/>
          <w:marRight w:val="0"/>
          <w:marTop w:val="0"/>
          <w:marBottom w:val="0"/>
          <w:divBdr>
            <w:top w:val="none" w:sz="0" w:space="0" w:color="auto"/>
            <w:left w:val="none" w:sz="0" w:space="0" w:color="auto"/>
            <w:bottom w:val="none" w:sz="0" w:space="0" w:color="auto"/>
            <w:right w:val="none" w:sz="0" w:space="0" w:color="auto"/>
          </w:divBdr>
        </w:div>
        <w:div w:id="1458328489">
          <w:marLeft w:val="2261"/>
          <w:marRight w:val="0"/>
          <w:marTop w:val="0"/>
          <w:marBottom w:val="0"/>
          <w:divBdr>
            <w:top w:val="none" w:sz="0" w:space="0" w:color="auto"/>
            <w:left w:val="none" w:sz="0" w:space="0" w:color="auto"/>
            <w:bottom w:val="none" w:sz="0" w:space="0" w:color="auto"/>
            <w:right w:val="none" w:sz="0" w:space="0" w:color="auto"/>
          </w:divBdr>
        </w:div>
        <w:div w:id="2083522201">
          <w:marLeft w:val="3197"/>
          <w:marRight w:val="0"/>
          <w:marTop w:val="0"/>
          <w:marBottom w:val="0"/>
          <w:divBdr>
            <w:top w:val="none" w:sz="0" w:space="0" w:color="auto"/>
            <w:left w:val="none" w:sz="0" w:space="0" w:color="auto"/>
            <w:bottom w:val="none" w:sz="0" w:space="0" w:color="auto"/>
            <w:right w:val="none" w:sz="0" w:space="0" w:color="auto"/>
          </w:divBdr>
        </w:div>
        <w:div w:id="868493238">
          <w:marLeft w:val="3197"/>
          <w:marRight w:val="0"/>
          <w:marTop w:val="0"/>
          <w:marBottom w:val="0"/>
          <w:divBdr>
            <w:top w:val="none" w:sz="0" w:space="0" w:color="auto"/>
            <w:left w:val="none" w:sz="0" w:space="0" w:color="auto"/>
            <w:bottom w:val="none" w:sz="0" w:space="0" w:color="auto"/>
            <w:right w:val="none" w:sz="0" w:space="0" w:color="auto"/>
          </w:divBdr>
        </w:div>
        <w:div w:id="1178737878">
          <w:marLeft w:val="2261"/>
          <w:marRight w:val="0"/>
          <w:marTop w:val="0"/>
          <w:marBottom w:val="0"/>
          <w:divBdr>
            <w:top w:val="none" w:sz="0" w:space="0" w:color="auto"/>
            <w:left w:val="none" w:sz="0" w:space="0" w:color="auto"/>
            <w:bottom w:val="none" w:sz="0" w:space="0" w:color="auto"/>
            <w:right w:val="none" w:sz="0" w:space="0" w:color="auto"/>
          </w:divBdr>
        </w:div>
        <w:div w:id="2140486394">
          <w:marLeft w:val="3197"/>
          <w:marRight w:val="0"/>
          <w:marTop w:val="0"/>
          <w:marBottom w:val="0"/>
          <w:divBdr>
            <w:top w:val="none" w:sz="0" w:space="0" w:color="auto"/>
            <w:left w:val="none" w:sz="0" w:space="0" w:color="auto"/>
            <w:bottom w:val="none" w:sz="0" w:space="0" w:color="auto"/>
            <w:right w:val="none" w:sz="0" w:space="0" w:color="auto"/>
          </w:divBdr>
        </w:div>
        <w:div w:id="1915435303">
          <w:marLeft w:val="3197"/>
          <w:marRight w:val="0"/>
          <w:marTop w:val="0"/>
          <w:marBottom w:val="0"/>
          <w:divBdr>
            <w:top w:val="none" w:sz="0" w:space="0" w:color="auto"/>
            <w:left w:val="none" w:sz="0" w:space="0" w:color="auto"/>
            <w:bottom w:val="none" w:sz="0" w:space="0" w:color="auto"/>
            <w:right w:val="none" w:sz="0" w:space="0" w:color="auto"/>
          </w:divBdr>
        </w:div>
      </w:divsChild>
    </w:div>
    <w:div w:id="863133156">
      <w:bodyDiv w:val="1"/>
      <w:marLeft w:val="0"/>
      <w:marRight w:val="0"/>
      <w:marTop w:val="0"/>
      <w:marBottom w:val="0"/>
      <w:divBdr>
        <w:top w:val="none" w:sz="0" w:space="0" w:color="auto"/>
        <w:left w:val="none" w:sz="0" w:space="0" w:color="auto"/>
        <w:bottom w:val="none" w:sz="0" w:space="0" w:color="auto"/>
        <w:right w:val="none" w:sz="0" w:space="0" w:color="auto"/>
      </w:divBdr>
    </w:div>
    <w:div w:id="889072344">
      <w:bodyDiv w:val="1"/>
      <w:marLeft w:val="0"/>
      <w:marRight w:val="0"/>
      <w:marTop w:val="0"/>
      <w:marBottom w:val="0"/>
      <w:divBdr>
        <w:top w:val="none" w:sz="0" w:space="0" w:color="auto"/>
        <w:left w:val="none" w:sz="0" w:space="0" w:color="auto"/>
        <w:bottom w:val="none" w:sz="0" w:space="0" w:color="auto"/>
        <w:right w:val="none" w:sz="0" w:space="0" w:color="auto"/>
      </w:divBdr>
      <w:divsChild>
        <w:div w:id="2053840605">
          <w:marLeft w:val="1166"/>
          <w:marRight w:val="0"/>
          <w:marTop w:val="134"/>
          <w:marBottom w:val="0"/>
          <w:divBdr>
            <w:top w:val="none" w:sz="0" w:space="0" w:color="auto"/>
            <w:left w:val="none" w:sz="0" w:space="0" w:color="auto"/>
            <w:bottom w:val="none" w:sz="0" w:space="0" w:color="auto"/>
            <w:right w:val="none" w:sz="0" w:space="0" w:color="auto"/>
          </w:divBdr>
        </w:div>
        <w:div w:id="3173308">
          <w:marLeft w:val="1166"/>
          <w:marRight w:val="0"/>
          <w:marTop w:val="134"/>
          <w:marBottom w:val="0"/>
          <w:divBdr>
            <w:top w:val="none" w:sz="0" w:space="0" w:color="auto"/>
            <w:left w:val="none" w:sz="0" w:space="0" w:color="auto"/>
            <w:bottom w:val="none" w:sz="0" w:space="0" w:color="auto"/>
            <w:right w:val="none" w:sz="0" w:space="0" w:color="auto"/>
          </w:divBdr>
        </w:div>
      </w:divsChild>
    </w:div>
    <w:div w:id="926108630">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37176419">
      <w:bodyDiv w:val="1"/>
      <w:marLeft w:val="0"/>
      <w:marRight w:val="0"/>
      <w:marTop w:val="0"/>
      <w:marBottom w:val="0"/>
      <w:divBdr>
        <w:top w:val="none" w:sz="0" w:space="0" w:color="auto"/>
        <w:left w:val="none" w:sz="0" w:space="0" w:color="auto"/>
        <w:bottom w:val="none" w:sz="0" w:space="0" w:color="auto"/>
        <w:right w:val="none" w:sz="0" w:space="0" w:color="auto"/>
      </w:divBdr>
      <w:divsChild>
        <w:div w:id="65805570">
          <w:marLeft w:val="749"/>
          <w:marRight w:val="0"/>
          <w:marTop w:val="200"/>
          <w:marBottom w:val="0"/>
          <w:divBdr>
            <w:top w:val="none" w:sz="0" w:space="0" w:color="auto"/>
            <w:left w:val="none" w:sz="0" w:space="0" w:color="auto"/>
            <w:bottom w:val="none" w:sz="0" w:space="0" w:color="auto"/>
            <w:right w:val="none" w:sz="0" w:space="0" w:color="auto"/>
          </w:divBdr>
        </w:div>
        <w:div w:id="601305216">
          <w:marLeft w:val="1757"/>
          <w:marRight w:val="0"/>
          <w:marTop w:val="20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6248364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76704985">
      <w:bodyDiv w:val="1"/>
      <w:marLeft w:val="0"/>
      <w:marRight w:val="0"/>
      <w:marTop w:val="0"/>
      <w:marBottom w:val="0"/>
      <w:divBdr>
        <w:top w:val="none" w:sz="0" w:space="0" w:color="auto"/>
        <w:left w:val="none" w:sz="0" w:space="0" w:color="auto"/>
        <w:bottom w:val="none" w:sz="0" w:space="0" w:color="auto"/>
        <w:right w:val="none" w:sz="0" w:space="0" w:color="auto"/>
      </w:divBdr>
      <w:divsChild>
        <w:div w:id="443231782">
          <w:marLeft w:val="547"/>
          <w:marRight w:val="0"/>
          <w:marTop w:val="96"/>
          <w:marBottom w:val="0"/>
          <w:divBdr>
            <w:top w:val="none" w:sz="0" w:space="0" w:color="auto"/>
            <w:left w:val="none" w:sz="0" w:space="0" w:color="auto"/>
            <w:bottom w:val="none" w:sz="0" w:space="0" w:color="auto"/>
            <w:right w:val="none" w:sz="0" w:space="0" w:color="auto"/>
          </w:divBdr>
        </w:div>
        <w:div w:id="1983150390">
          <w:marLeft w:val="1166"/>
          <w:marRight w:val="0"/>
          <w:marTop w:val="77"/>
          <w:marBottom w:val="0"/>
          <w:divBdr>
            <w:top w:val="none" w:sz="0" w:space="0" w:color="auto"/>
            <w:left w:val="none" w:sz="0" w:space="0" w:color="auto"/>
            <w:bottom w:val="none" w:sz="0" w:space="0" w:color="auto"/>
            <w:right w:val="none" w:sz="0" w:space="0" w:color="auto"/>
          </w:divBdr>
        </w:div>
        <w:div w:id="1243370646">
          <w:marLeft w:val="1166"/>
          <w:marRight w:val="0"/>
          <w:marTop w:val="77"/>
          <w:marBottom w:val="0"/>
          <w:divBdr>
            <w:top w:val="none" w:sz="0" w:space="0" w:color="auto"/>
            <w:left w:val="none" w:sz="0" w:space="0" w:color="auto"/>
            <w:bottom w:val="none" w:sz="0" w:space="0" w:color="auto"/>
            <w:right w:val="none" w:sz="0" w:space="0" w:color="auto"/>
          </w:divBdr>
        </w:div>
        <w:div w:id="535578523">
          <w:marLeft w:val="1166"/>
          <w:marRight w:val="0"/>
          <w:marTop w:val="77"/>
          <w:marBottom w:val="0"/>
          <w:divBdr>
            <w:top w:val="none" w:sz="0" w:space="0" w:color="auto"/>
            <w:left w:val="none" w:sz="0" w:space="0" w:color="auto"/>
            <w:bottom w:val="none" w:sz="0" w:space="0" w:color="auto"/>
            <w:right w:val="none" w:sz="0" w:space="0" w:color="auto"/>
          </w:divBdr>
        </w:div>
        <w:div w:id="667247523">
          <w:marLeft w:val="1166"/>
          <w:marRight w:val="0"/>
          <w:marTop w:val="77"/>
          <w:marBottom w:val="0"/>
          <w:divBdr>
            <w:top w:val="none" w:sz="0" w:space="0" w:color="auto"/>
            <w:left w:val="none" w:sz="0" w:space="0" w:color="auto"/>
            <w:bottom w:val="none" w:sz="0" w:space="0" w:color="auto"/>
            <w:right w:val="none" w:sz="0" w:space="0" w:color="auto"/>
          </w:divBdr>
        </w:div>
        <w:div w:id="8533732">
          <w:marLeft w:val="1166"/>
          <w:marRight w:val="0"/>
          <w:marTop w:val="77"/>
          <w:marBottom w:val="0"/>
          <w:divBdr>
            <w:top w:val="none" w:sz="0" w:space="0" w:color="auto"/>
            <w:left w:val="none" w:sz="0" w:space="0" w:color="auto"/>
            <w:bottom w:val="none" w:sz="0" w:space="0" w:color="auto"/>
            <w:right w:val="none" w:sz="0" w:space="0" w:color="auto"/>
          </w:divBdr>
        </w:div>
        <w:div w:id="1639333777">
          <w:marLeft w:val="1166"/>
          <w:marRight w:val="0"/>
          <w:marTop w:val="77"/>
          <w:marBottom w:val="0"/>
          <w:divBdr>
            <w:top w:val="none" w:sz="0" w:space="0" w:color="auto"/>
            <w:left w:val="none" w:sz="0" w:space="0" w:color="auto"/>
            <w:bottom w:val="none" w:sz="0" w:space="0" w:color="auto"/>
            <w:right w:val="none" w:sz="0" w:space="0" w:color="auto"/>
          </w:divBdr>
        </w:div>
      </w:divsChild>
    </w:div>
    <w:div w:id="1108886503">
      <w:bodyDiv w:val="1"/>
      <w:marLeft w:val="0"/>
      <w:marRight w:val="0"/>
      <w:marTop w:val="0"/>
      <w:marBottom w:val="0"/>
      <w:divBdr>
        <w:top w:val="none" w:sz="0" w:space="0" w:color="auto"/>
        <w:left w:val="none" w:sz="0" w:space="0" w:color="auto"/>
        <w:bottom w:val="none" w:sz="0" w:space="0" w:color="auto"/>
        <w:right w:val="none" w:sz="0" w:space="0" w:color="auto"/>
      </w:divBdr>
      <w:divsChild>
        <w:div w:id="1481070735">
          <w:marLeft w:val="547"/>
          <w:marRight w:val="0"/>
          <w:marTop w:val="154"/>
          <w:marBottom w:val="0"/>
          <w:divBdr>
            <w:top w:val="none" w:sz="0" w:space="0" w:color="auto"/>
            <w:left w:val="none" w:sz="0" w:space="0" w:color="auto"/>
            <w:bottom w:val="none" w:sz="0" w:space="0" w:color="auto"/>
            <w:right w:val="none" w:sz="0" w:space="0" w:color="auto"/>
          </w:divBdr>
        </w:div>
        <w:div w:id="1333335598">
          <w:marLeft w:val="547"/>
          <w:marRight w:val="0"/>
          <w:marTop w:val="154"/>
          <w:marBottom w:val="0"/>
          <w:divBdr>
            <w:top w:val="none" w:sz="0" w:space="0" w:color="auto"/>
            <w:left w:val="none" w:sz="0" w:space="0" w:color="auto"/>
            <w:bottom w:val="none" w:sz="0" w:space="0" w:color="auto"/>
            <w:right w:val="none" w:sz="0" w:space="0" w:color="auto"/>
          </w:divBdr>
        </w:div>
        <w:div w:id="1118337618">
          <w:marLeft w:val="547"/>
          <w:marRight w:val="0"/>
          <w:marTop w:val="154"/>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1360515">
      <w:bodyDiv w:val="1"/>
      <w:marLeft w:val="0"/>
      <w:marRight w:val="0"/>
      <w:marTop w:val="0"/>
      <w:marBottom w:val="0"/>
      <w:divBdr>
        <w:top w:val="none" w:sz="0" w:space="0" w:color="auto"/>
        <w:left w:val="none" w:sz="0" w:space="0" w:color="auto"/>
        <w:bottom w:val="none" w:sz="0" w:space="0" w:color="auto"/>
        <w:right w:val="none" w:sz="0" w:space="0" w:color="auto"/>
      </w:divBdr>
    </w:div>
    <w:div w:id="1153718940">
      <w:bodyDiv w:val="1"/>
      <w:marLeft w:val="0"/>
      <w:marRight w:val="0"/>
      <w:marTop w:val="0"/>
      <w:marBottom w:val="0"/>
      <w:divBdr>
        <w:top w:val="none" w:sz="0" w:space="0" w:color="auto"/>
        <w:left w:val="none" w:sz="0" w:space="0" w:color="auto"/>
        <w:bottom w:val="none" w:sz="0" w:space="0" w:color="auto"/>
        <w:right w:val="none" w:sz="0" w:space="0" w:color="auto"/>
      </w:divBdr>
      <w:divsChild>
        <w:div w:id="663319382">
          <w:marLeft w:val="850"/>
          <w:marRight w:val="0"/>
          <w:marTop w:val="0"/>
          <w:marBottom w:val="0"/>
          <w:divBdr>
            <w:top w:val="none" w:sz="0" w:space="0" w:color="auto"/>
            <w:left w:val="none" w:sz="0" w:space="0" w:color="auto"/>
            <w:bottom w:val="none" w:sz="0" w:space="0" w:color="auto"/>
            <w:right w:val="none" w:sz="0" w:space="0" w:color="auto"/>
          </w:divBdr>
        </w:div>
        <w:div w:id="1471510353">
          <w:marLeft w:val="2261"/>
          <w:marRight w:val="0"/>
          <w:marTop w:val="0"/>
          <w:marBottom w:val="0"/>
          <w:divBdr>
            <w:top w:val="none" w:sz="0" w:space="0" w:color="auto"/>
            <w:left w:val="none" w:sz="0" w:space="0" w:color="auto"/>
            <w:bottom w:val="none" w:sz="0" w:space="0" w:color="auto"/>
            <w:right w:val="none" w:sz="0" w:space="0" w:color="auto"/>
          </w:divBdr>
        </w:div>
        <w:div w:id="1282876269">
          <w:marLeft w:val="3197"/>
          <w:marRight w:val="0"/>
          <w:marTop w:val="0"/>
          <w:marBottom w:val="0"/>
          <w:divBdr>
            <w:top w:val="none" w:sz="0" w:space="0" w:color="auto"/>
            <w:left w:val="none" w:sz="0" w:space="0" w:color="auto"/>
            <w:bottom w:val="none" w:sz="0" w:space="0" w:color="auto"/>
            <w:right w:val="none" w:sz="0" w:space="0" w:color="auto"/>
          </w:divBdr>
        </w:div>
        <w:div w:id="1942105167">
          <w:marLeft w:val="3197"/>
          <w:marRight w:val="0"/>
          <w:marTop w:val="0"/>
          <w:marBottom w:val="0"/>
          <w:divBdr>
            <w:top w:val="none" w:sz="0" w:space="0" w:color="auto"/>
            <w:left w:val="none" w:sz="0" w:space="0" w:color="auto"/>
            <w:bottom w:val="none" w:sz="0" w:space="0" w:color="auto"/>
            <w:right w:val="none" w:sz="0" w:space="0" w:color="auto"/>
          </w:divBdr>
        </w:div>
        <w:div w:id="241986124">
          <w:marLeft w:val="3197"/>
          <w:marRight w:val="0"/>
          <w:marTop w:val="0"/>
          <w:marBottom w:val="0"/>
          <w:divBdr>
            <w:top w:val="none" w:sz="0" w:space="0" w:color="auto"/>
            <w:left w:val="none" w:sz="0" w:space="0" w:color="auto"/>
            <w:bottom w:val="none" w:sz="0" w:space="0" w:color="auto"/>
            <w:right w:val="none" w:sz="0" w:space="0" w:color="auto"/>
          </w:divBdr>
        </w:div>
        <w:div w:id="402872734">
          <w:marLeft w:val="2261"/>
          <w:marRight w:val="0"/>
          <w:marTop w:val="0"/>
          <w:marBottom w:val="0"/>
          <w:divBdr>
            <w:top w:val="none" w:sz="0" w:space="0" w:color="auto"/>
            <w:left w:val="none" w:sz="0" w:space="0" w:color="auto"/>
            <w:bottom w:val="none" w:sz="0" w:space="0" w:color="auto"/>
            <w:right w:val="none" w:sz="0" w:space="0" w:color="auto"/>
          </w:divBdr>
        </w:div>
        <w:div w:id="2077127287">
          <w:marLeft w:val="850"/>
          <w:marRight w:val="0"/>
          <w:marTop w:val="0"/>
          <w:marBottom w:val="0"/>
          <w:divBdr>
            <w:top w:val="none" w:sz="0" w:space="0" w:color="auto"/>
            <w:left w:val="none" w:sz="0" w:space="0" w:color="auto"/>
            <w:bottom w:val="none" w:sz="0" w:space="0" w:color="auto"/>
            <w:right w:val="none" w:sz="0" w:space="0" w:color="auto"/>
          </w:divBdr>
        </w:div>
        <w:div w:id="517698683">
          <w:marLeft w:val="2261"/>
          <w:marRight w:val="0"/>
          <w:marTop w:val="0"/>
          <w:marBottom w:val="0"/>
          <w:divBdr>
            <w:top w:val="none" w:sz="0" w:space="0" w:color="auto"/>
            <w:left w:val="none" w:sz="0" w:space="0" w:color="auto"/>
            <w:bottom w:val="none" w:sz="0" w:space="0" w:color="auto"/>
            <w:right w:val="none" w:sz="0" w:space="0" w:color="auto"/>
          </w:divBdr>
        </w:div>
        <w:div w:id="1782335392">
          <w:marLeft w:val="3197"/>
          <w:marRight w:val="0"/>
          <w:marTop w:val="0"/>
          <w:marBottom w:val="0"/>
          <w:divBdr>
            <w:top w:val="none" w:sz="0" w:space="0" w:color="auto"/>
            <w:left w:val="none" w:sz="0" w:space="0" w:color="auto"/>
            <w:bottom w:val="none" w:sz="0" w:space="0" w:color="auto"/>
            <w:right w:val="none" w:sz="0" w:space="0" w:color="auto"/>
          </w:divBdr>
        </w:div>
        <w:div w:id="304090217">
          <w:marLeft w:val="3197"/>
          <w:marRight w:val="0"/>
          <w:marTop w:val="0"/>
          <w:marBottom w:val="0"/>
          <w:divBdr>
            <w:top w:val="none" w:sz="0" w:space="0" w:color="auto"/>
            <w:left w:val="none" w:sz="0" w:space="0" w:color="auto"/>
            <w:bottom w:val="none" w:sz="0" w:space="0" w:color="auto"/>
            <w:right w:val="none" w:sz="0" w:space="0" w:color="auto"/>
          </w:divBdr>
        </w:div>
        <w:div w:id="641083250">
          <w:marLeft w:val="3197"/>
          <w:marRight w:val="0"/>
          <w:marTop w:val="0"/>
          <w:marBottom w:val="0"/>
          <w:divBdr>
            <w:top w:val="none" w:sz="0" w:space="0" w:color="auto"/>
            <w:left w:val="none" w:sz="0" w:space="0" w:color="auto"/>
            <w:bottom w:val="none" w:sz="0" w:space="0" w:color="auto"/>
            <w:right w:val="none" w:sz="0" w:space="0" w:color="auto"/>
          </w:divBdr>
        </w:div>
        <w:div w:id="2046367644">
          <w:marLeft w:val="2261"/>
          <w:marRight w:val="0"/>
          <w:marTop w:val="0"/>
          <w:marBottom w:val="0"/>
          <w:divBdr>
            <w:top w:val="none" w:sz="0" w:space="0" w:color="auto"/>
            <w:left w:val="none" w:sz="0" w:space="0" w:color="auto"/>
            <w:bottom w:val="none" w:sz="0" w:space="0" w:color="auto"/>
            <w:right w:val="none" w:sz="0" w:space="0" w:color="auto"/>
          </w:divBdr>
        </w:div>
      </w:divsChild>
    </w:div>
    <w:div w:id="1167133493">
      <w:bodyDiv w:val="1"/>
      <w:marLeft w:val="0"/>
      <w:marRight w:val="0"/>
      <w:marTop w:val="0"/>
      <w:marBottom w:val="0"/>
      <w:divBdr>
        <w:top w:val="none" w:sz="0" w:space="0" w:color="auto"/>
        <w:left w:val="none" w:sz="0" w:space="0" w:color="auto"/>
        <w:bottom w:val="none" w:sz="0" w:space="0" w:color="auto"/>
        <w:right w:val="none" w:sz="0" w:space="0" w:color="auto"/>
      </w:divBdr>
      <w:divsChild>
        <w:div w:id="247934023">
          <w:marLeft w:val="547"/>
          <w:marRight w:val="0"/>
          <w:marTop w:val="96"/>
          <w:marBottom w:val="0"/>
          <w:divBdr>
            <w:top w:val="none" w:sz="0" w:space="0" w:color="auto"/>
            <w:left w:val="none" w:sz="0" w:space="0" w:color="auto"/>
            <w:bottom w:val="none" w:sz="0" w:space="0" w:color="auto"/>
            <w:right w:val="none" w:sz="0" w:space="0" w:color="auto"/>
          </w:divBdr>
        </w:div>
        <w:div w:id="1329552813">
          <w:marLeft w:val="1166"/>
          <w:marRight w:val="0"/>
          <w:marTop w:val="77"/>
          <w:marBottom w:val="0"/>
          <w:divBdr>
            <w:top w:val="none" w:sz="0" w:space="0" w:color="auto"/>
            <w:left w:val="none" w:sz="0" w:space="0" w:color="auto"/>
            <w:bottom w:val="none" w:sz="0" w:space="0" w:color="auto"/>
            <w:right w:val="none" w:sz="0" w:space="0" w:color="auto"/>
          </w:divBdr>
        </w:div>
        <w:div w:id="361588441">
          <w:marLeft w:val="1800"/>
          <w:marRight w:val="0"/>
          <w:marTop w:val="77"/>
          <w:marBottom w:val="0"/>
          <w:divBdr>
            <w:top w:val="none" w:sz="0" w:space="0" w:color="auto"/>
            <w:left w:val="none" w:sz="0" w:space="0" w:color="auto"/>
            <w:bottom w:val="none" w:sz="0" w:space="0" w:color="auto"/>
            <w:right w:val="none" w:sz="0" w:space="0" w:color="auto"/>
          </w:divBdr>
        </w:div>
        <w:div w:id="1174488797">
          <w:marLeft w:val="2520"/>
          <w:marRight w:val="0"/>
          <w:marTop w:val="67"/>
          <w:marBottom w:val="0"/>
          <w:divBdr>
            <w:top w:val="none" w:sz="0" w:space="0" w:color="auto"/>
            <w:left w:val="none" w:sz="0" w:space="0" w:color="auto"/>
            <w:bottom w:val="none" w:sz="0" w:space="0" w:color="auto"/>
            <w:right w:val="none" w:sz="0" w:space="0" w:color="auto"/>
          </w:divBdr>
        </w:div>
        <w:div w:id="1632129828">
          <w:marLeft w:val="3240"/>
          <w:marRight w:val="0"/>
          <w:marTop w:val="67"/>
          <w:marBottom w:val="0"/>
          <w:divBdr>
            <w:top w:val="none" w:sz="0" w:space="0" w:color="auto"/>
            <w:left w:val="none" w:sz="0" w:space="0" w:color="auto"/>
            <w:bottom w:val="none" w:sz="0" w:space="0" w:color="auto"/>
            <w:right w:val="none" w:sz="0" w:space="0" w:color="auto"/>
          </w:divBdr>
        </w:div>
        <w:div w:id="1508134488">
          <w:marLeft w:val="3240"/>
          <w:marRight w:val="0"/>
          <w:marTop w:val="67"/>
          <w:marBottom w:val="0"/>
          <w:divBdr>
            <w:top w:val="none" w:sz="0" w:space="0" w:color="auto"/>
            <w:left w:val="none" w:sz="0" w:space="0" w:color="auto"/>
            <w:bottom w:val="none" w:sz="0" w:space="0" w:color="auto"/>
            <w:right w:val="none" w:sz="0" w:space="0" w:color="auto"/>
          </w:divBdr>
        </w:div>
        <w:div w:id="876116230">
          <w:marLeft w:val="3240"/>
          <w:marRight w:val="0"/>
          <w:marTop w:val="67"/>
          <w:marBottom w:val="0"/>
          <w:divBdr>
            <w:top w:val="none" w:sz="0" w:space="0" w:color="auto"/>
            <w:left w:val="none" w:sz="0" w:space="0" w:color="auto"/>
            <w:bottom w:val="none" w:sz="0" w:space="0" w:color="auto"/>
            <w:right w:val="none" w:sz="0" w:space="0" w:color="auto"/>
          </w:divBdr>
        </w:div>
        <w:div w:id="1266110791">
          <w:marLeft w:val="2520"/>
          <w:marRight w:val="0"/>
          <w:marTop w:val="67"/>
          <w:marBottom w:val="0"/>
          <w:divBdr>
            <w:top w:val="none" w:sz="0" w:space="0" w:color="auto"/>
            <w:left w:val="none" w:sz="0" w:space="0" w:color="auto"/>
            <w:bottom w:val="none" w:sz="0" w:space="0" w:color="auto"/>
            <w:right w:val="none" w:sz="0" w:space="0" w:color="auto"/>
          </w:divBdr>
        </w:div>
        <w:div w:id="938217194">
          <w:marLeft w:val="3240"/>
          <w:marRight w:val="0"/>
          <w:marTop w:val="67"/>
          <w:marBottom w:val="0"/>
          <w:divBdr>
            <w:top w:val="none" w:sz="0" w:space="0" w:color="auto"/>
            <w:left w:val="none" w:sz="0" w:space="0" w:color="auto"/>
            <w:bottom w:val="none" w:sz="0" w:space="0" w:color="auto"/>
            <w:right w:val="none" w:sz="0" w:space="0" w:color="auto"/>
          </w:divBdr>
        </w:div>
        <w:div w:id="898438321">
          <w:marLeft w:val="2520"/>
          <w:marRight w:val="0"/>
          <w:marTop w:val="67"/>
          <w:marBottom w:val="0"/>
          <w:divBdr>
            <w:top w:val="none" w:sz="0" w:space="0" w:color="auto"/>
            <w:left w:val="none" w:sz="0" w:space="0" w:color="auto"/>
            <w:bottom w:val="none" w:sz="0" w:space="0" w:color="auto"/>
            <w:right w:val="none" w:sz="0" w:space="0" w:color="auto"/>
          </w:divBdr>
        </w:div>
      </w:divsChild>
    </w:div>
    <w:div w:id="1213729417">
      <w:bodyDiv w:val="1"/>
      <w:marLeft w:val="0"/>
      <w:marRight w:val="0"/>
      <w:marTop w:val="0"/>
      <w:marBottom w:val="0"/>
      <w:divBdr>
        <w:top w:val="none" w:sz="0" w:space="0" w:color="auto"/>
        <w:left w:val="none" w:sz="0" w:space="0" w:color="auto"/>
        <w:bottom w:val="none" w:sz="0" w:space="0" w:color="auto"/>
        <w:right w:val="none" w:sz="0" w:space="0" w:color="auto"/>
      </w:divBdr>
    </w:div>
    <w:div w:id="1242447548">
      <w:bodyDiv w:val="1"/>
      <w:marLeft w:val="0"/>
      <w:marRight w:val="0"/>
      <w:marTop w:val="0"/>
      <w:marBottom w:val="0"/>
      <w:divBdr>
        <w:top w:val="none" w:sz="0" w:space="0" w:color="auto"/>
        <w:left w:val="none" w:sz="0" w:space="0" w:color="auto"/>
        <w:bottom w:val="none" w:sz="0" w:space="0" w:color="auto"/>
        <w:right w:val="none" w:sz="0" w:space="0" w:color="auto"/>
      </w:divBdr>
      <w:divsChild>
        <w:div w:id="1528908926">
          <w:marLeft w:val="850"/>
          <w:marRight w:val="0"/>
          <w:marTop w:val="0"/>
          <w:marBottom w:val="0"/>
          <w:divBdr>
            <w:top w:val="none" w:sz="0" w:space="0" w:color="auto"/>
            <w:left w:val="none" w:sz="0" w:space="0" w:color="auto"/>
            <w:bottom w:val="none" w:sz="0" w:space="0" w:color="auto"/>
            <w:right w:val="none" w:sz="0" w:space="0" w:color="auto"/>
          </w:divBdr>
        </w:div>
        <w:div w:id="1851068659">
          <w:marLeft w:val="1699"/>
          <w:marRight w:val="0"/>
          <w:marTop w:val="0"/>
          <w:marBottom w:val="0"/>
          <w:divBdr>
            <w:top w:val="none" w:sz="0" w:space="0" w:color="auto"/>
            <w:left w:val="none" w:sz="0" w:space="0" w:color="auto"/>
            <w:bottom w:val="none" w:sz="0" w:space="0" w:color="auto"/>
            <w:right w:val="none" w:sz="0" w:space="0" w:color="auto"/>
          </w:divBdr>
        </w:div>
        <w:div w:id="7603517">
          <w:marLeft w:val="1699"/>
          <w:marRight w:val="0"/>
          <w:marTop w:val="0"/>
          <w:marBottom w:val="0"/>
          <w:divBdr>
            <w:top w:val="none" w:sz="0" w:space="0" w:color="auto"/>
            <w:left w:val="none" w:sz="0" w:space="0" w:color="auto"/>
            <w:bottom w:val="none" w:sz="0" w:space="0" w:color="auto"/>
            <w:right w:val="none" w:sz="0" w:space="0" w:color="auto"/>
          </w:divBdr>
        </w:div>
        <w:div w:id="1669289982">
          <w:marLeft w:val="850"/>
          <w:marRight w:val="0"/>
          <w:marTop w:val="0"/>
          <w:marBottom w:val="0"/>
          <w:divBdr>
            <w:top w:val="none" w:sz="0" w:space="0" w:color="auto"/>
            <w:left w:val="none" w:sz="0" w:space="0" w:color="auto"/>
            <w:bottom w:val="none" w:sz="0" w:space="0" w:color="auto"/>
            <w:right w:val="none" w:sz="0" w:space="0" w:color="auto"/>
          </w:divBdr>
        </w:div>
        <w:div w:id="1977880255">
          <w:marLeft w:val="1699"/>
          <w:marRight w:val="0"/>
          <w:marTop w:val="0"/>
          <w:marBottom w:val="0"/>
          <w:divBdr>
            <w:top w:val="none" w:sz="0" w:space="0" w:color="auto"/>
            <w:left w:val="none" w:sz="0" w:space="0" w:color="auto"/>
            <w:bottom w:val="none" w:sz="0" w:space="0" w:color="auto"/>
            <w:right w:val="none" w:sz="0" w:space="0" w:color="auto"/>
          </w:divBdr>
        </w:div>
        <w:div w:id="823010485">
          <w:marLeft w:val="1699"/>
          <w:marRight w:val="0"/>
          <w:marTop w:val="0"/>
          <w:marBottom w:val="0"/>
          <w:divBdr>
            <w:top w:val="none" w:sz="0" w:space="0" w:color="auto"/>
            <w:left w:val="none" w:sz="0" w:space="0" w:color="auto"/>
            <w:bottom w:val="none" w:sz="0" w:space="0" w:color="auto"/>
            <w:right w:val="none" w:sz="0" w:space="0" w:color="auto"/>
          </w:divBdr>
        </w:div>
        <w:div w:id="830171418">
          <w:marLeft w:val="3197"/>
          <w:marRight w:val="0"/>
          <w:marTop w:val="0"/>
          <w:marBottom w:val="0"/>
          <w:divBdr>
            <w:top w:val="none" w:sz="0" w:space="0" w:color="auto"/>
            <w:left w:val="none" w:sz="0" w:space="0" w:color="auto"/>
            <w:bottom w:val="none" w:sz="0" w:space="0" w:color="auto"/>
            <w:right w:val="none" w:sz="0" w:space="0" w:color="auto"/>
          </w:divBdr>
        </w:div>
        <w:div w:id="375008200">
          <w:marLeft w:val="3197"/>
          <w:marRight w:val="0"/>
          <w:marTop w:val="0"/>
          <w:marBottom w:val="0"/>
          <w:divBdr>
            <w:top w:val="none" w:sz="0" w:space="0" w:color="auto"/>
            <w:left w:val="none" w:sz="0" w:space="0" w:color="auto"/>
            <w:bottom w:val="none" w:sz="0" w:space="0" w:color="auto"/>
            <w:right w:val="none" w:sz="0" w:space="0" w:color="auto"/>
          </w:divBdr>
        </w:div>
        <w:div w:id="311326290">
          <w:marLeft w:val="1699"/>
          <w:marRight w:val="0"/>
          <w:marTop w:val="0"/>
          <w:marBottom w:val="0"/>
          <w:divBdr>
            <w:top w:val="none" w:sz="0" w:space="0" w:color="auto"/>
            <w:left w:val="none" w:sz="0" w:space="0" w:color="auto"/>
            <w:bottom w:val="none" w:sz="0" w:space="0" w:color="auto"/>
            <w:right w:val="none" w:sz="0" w:space="0" w:color="auto"/>
          </w:divBdr>
        </w:div>
        <w:div w:id="1115099970">
          <w:marLeft w:val="3197"/>
          <w:marRight w:val="0"/>
          <w:marTop w:val="0"/>
          <w:marBottom w:val="0"/>
          <w:divBdr>
            <w:top w:val="none" w:sz="0" w:space="0" w:color="auto"/>
            <w:left w:val="none" w:sz="0" w:space="0" w:color="auto"/>
            <w:bottom w:val="none" w:sz="0" w:space="0" w:color="auto"/>
            <w:right w:val="none" w:sz="0" w:space="0" w:color="auto"/>
          </w:divBdr>
        </w:div>
        <w:div w:id="173886354">
          <w:marLeft w:val="3197"/>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579209">
      <w:bodyDiv w:val="1"/>
      <w:marLeft w:val="0"/>
      <w:marRight w:val="0"/>
      <w:marTop w:val="0"/>
      <w:marBottom w:val="0"/>
      <w:divBdr>
        <w:top w:val="none" w:sz="0" w:space="0" w:color="auto"/>
        <w:left w:val="none" w:sz="0" w:space="0" w:color="auto"/>
        <w:bottom w:val="none" w:sz="0" w:space="0" w:color="auto"/>
        <w:right w:val="none" w:sz="0" w:space="0" w:color="auto"/>
      </w:divBdr>
    </w:div>
    <w:div w:id="1327444208">
      <w:bodyDiv w:val="1"/>
      <w:marLeft w:val="0"/>
      <w:marRight w:val="0"/>
      <w:marTop w:val="0"/>
      <w:marBottom w:val="0"/>
      <w:divBdr>
        <w:top w:val="none" w:sz="0" w:space="0" w:color="auto"/>
        <w:left w:val="none" w:sz="0" w:space="0" w:color="auto"/>
        <w:bottom w:val="none" w:sz="0" w:space="0" w:color="auto"/>
        <w:right w:val="none" w:sz="0" w:space="0" w:color="auto"/>
      </w:divBdr>
      <w:divsChild>
        <w:div w:id="457724079">
          <w:marLeft w:val="547"/>
          <w:marRight w:val="0"/>
          <w:marTop w:val="96"/>
          <w:marBottom w:val="0"/>
          <w:divBdr>
            <w:top w:val="none" w:sz="0" w:space="0" w:color="auto"/>
            <w:left w:val="none" w:sz="0" w:space="0" w:color="auto"/>
            <w:bottom w:val="none" w:sz="0" w:space="0" w:color="auto"/>
            <w:right w:val="none" w:sz="0" w:space="0" w:color="auto"/>
          </w:divBdr>
        </w:div>
        <w:div w:id="1752586023">
          <w:marLeft w:val="547"/>
          <w:marRight w:val="0"/>
          <w:marTop w:val="96"/>
          <w:marBottom w:val="0"/>
          <w:divBdr>
            <w:top w:val="none" w:sz="0" w:space="0" w:color="auto"/>
            <w:left w:val="none" w:sz="0" w:space="0" w:color="auto"/>
            <w:bottom w:val="none" w:sz="0" w:space="0" w:color="auto"/>
            <w:right w:val="none" w:sz="0" w:space="0" w:color="auto"/>
          </w:divBdr>
        </w:div>
        <w:div w:id="1914392362">
          <w:marLeft w:val="1166"/>
          <w:marRight w:val="0"/>
          <w:marTop w:val="77"/>
          <w:marBottom w:val="0"/>
          <w:divBdr>
            <w:top w:val="none" w:sz="0" w:space="0" w:color="auto"/>
            <w:left w:val="none" w:sz="0" w:space="0" w:color="auto"/>
            <w:bottom w:val="none" w:sz="0" w:space="0" w:color="auto"/>
            <w:right w:val="none" w:sz="0" w:space="0" w:color="auto"/>
          </w:divBdr>
        </w:div>
        <w:div w:id="919825968">
          <w:marLeft w:val="1166"/>
          <w:marRight w:val="0"/>
          <w:marTop w:val="77"/>
          <w:marBottom w:val="0"/>
          <w:divBdr>
            <w:top w:val="none" w:sz="0" w:space="0" w:color="auto"/>
            <w:left w:val="none" w:sz="0" w:space="0" w:color="auto"/>
            <w:bottom w:val="none" w:sz="0" w:space="0" w:color="auto"/>
            <w:right w:val="none" w:sz="0" w:space="0" w:color="auto"/>
          </w:divBdr>
        </w:div>
        <w:div w:id="1960530579">
          <w:marLeft w:val="1166"/>
          <w:marRight w:val="0"/>
          <w:marTop w:val="77"/>
          <w:marBottom w:val="0"/>
          <w:divBdr>
            <w:top w:val="none" w:sz="0" w:space="0" w:color="auto"/>
            <w:left w:val="none" w:sz="0" w:space="0" w:color="auto"/>
            <w:bottom w:val="none" w:sz="0" w:space="0" w:color="auto"/>
            <w:right w:val="none" w:sz="0" w:space="0" w:color="auto"/>
          </w:divBdr>
        </w:div>
        <w:div w:id="1008170233">
          <w:marLeft w:val="1166"/>
          <w:marRight w:val="0"/>
          <w:marTop w:val="77"/>
          <w:marBottom w:val="0"/>
          <w:divBdr>
            <w:top w:val="none" w:sz="0" w:space="0" w:color="auto"/>
            <w:left w:val="none" w:sz="0" w:space="0" w:color="auto"/>
            <w:bottom w:val="none" w:sz="0" w:space="0" w:color="auto"/>
            <w:right w:val="none" w:sz="0" w:space="0" w:color="auto"/>
          </w:divBdr>
        </w:div>
        <w:div w:id="1686130609">
          <w:marLeft w:val="1166"/>
          <w:marRight w:val="0"/>
          <w:marTop w:val="77"/>
          <w:marBottom w:val="0"/>
          <w:divBdr>
            <w:top w:val="none" w:sz="0" w:space="0" w:color="auto"/>
            <w:left w:val="none" w:sz="0" w:space="0" w:color="auto"/>
            <w:bottom w:val="none" w:sz="0" w:space="0" w:color="auto"/>
            <w:right w:val="none" w:sz="0" w:space="0" w:color="auto"/>
          </w:divBdr>
        </w:div>
        <w:div w:id="360402524">
          <w:marLeft w:val="1166"/>
          <w:marRight w:val="0"/>
          <w:marTop w:val="77"/>
          <w:marBottom w:val="0"/>
          <w:divBdr>
            <w:top w:val="none" w:sz="0" w:space="0" w:color="auto"/>
            <w:left w:val="none" w:sz="0" w:space="0" w:color="auto"/>
            <w:bottom w:val="none" w:sz="0" w:space="0" w:color="auto"/>
            <w:right w:val="none" w:sz="0" w:space="0" w:color="auto"/>
          </w:divBdr>
        </w:div>
      </w:divsChild>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7925790">
      <w:bodyDiv w:val="1"/>
      <w:marLeft w:val="0"/>
      <w:marRight w:val="0"/>
      <w:marTop w:val="0"/>
      <w:marBottom w:val="0"/>
      <w:divBdr>
        <w:top w:val="none" w:sz="0" w:space="0" w:color="auto"/>
        <w:left w:val="none" w:sz="0" w:space="0" w:color="auto"/>
        <w:bottom w:val="none" w:sz="0" w:space="0" w:color="auto"/>
        <w:right w:val="none" w:sz="0" w:space="0" w:color="auto"/>
      </w:divBdr>
      <w:divsChild>
        <w:div w:id="1086615337">
          <w:marLeft w:val="1267"/>
          <w:marRight w:val="0"/>
          <w:marTop w:val="125"/>
          <w:marBottom w:val="0"/>
          <w:divBdr>
            <w:top w:val="none" w:sz="0" w:space="0" w:color="auto"/>
            <w:left w:val="none" w:sz="0" w:space="0" w:color="auto"/>
            <w:bottom w:val="none" w:sz="0" w:space="0" w:color="auto"/>
            <w:right w:val="none" w:sz="0" w:space="0" w:color="auto"/>
          </w:divBdr>
        </w:div>
        <w:div w:id="603342241">
          <w:marLeft w:val="1267"/>
          <w:marRight w:val="0"/>
          <w:marTop w:val="125"/>
          <w:marBottom w:val="0"/>
          <w:divBdr>
            <w:top w:val="none" w:sz="0" w:space="0" w:color="auto"/>
            <w:left w:val="none" w:sz="0" w:space="0" w:color="auto"/>
            <w:bottom w:val="none" w:sz="0" w:space="0" w:color="auto"/>
            <w:right w:val="none" w:sz="0" w:space="0" w:color="auto"/>
          </w:divBdr>
        </w:div>
      </w:divsChild>
    </w:div>
    <w:div w:id="1360471846">
      <w:bodyDiv w:val="1"/>
      <w:marLeft w:val="0"/>
      <w:marRight w:val="0"/>
      <w:marTop w:val="0"/>
      <w:marBottom w:val="0"/>
      <w:divBdr>
        <w:top w:val="none" w:sz="0" w:space="0" w:color="auto"/>
        <w:left w:val="none" w:sz="0" w:space="0" w:color="auto"/>
        <w:bottom w:val="none" w:sz="0" w:space="0" w:color="auto"/>
        <w:right w:val="none" w:sz="0" w:space="0" w:color="auto"/>
      </w:divBdr>
      <w:divsChild>
        <w:div w:id="1362239316">
          <w:marLeft w:val="634"/>
          <w:marRight w:val="0"/>
          <w:marTop w:val="96"/>
          <w:marBottom w:val="0"/>
          <w:divBdr>
            <w:top w:val="none" w:sz="0" w:space="0" w:color="auto"/>
            <w:left w:val="none" w:sz="0" w:space="0" w:color="auto"/>
            <w:bottom w:val="none" w:sz="0" w:space="0" w:color="auto"/>
            <w:right w:val="none" w:sz="0" w:space="0" w:color="auto"/>
          </w:divBdr>
        </w:div>
        <w:div w:id="1200776551">
          <w:marLeft w:val="634"/>
          <w:marRight w:val="0"/>
          <w:marTop w:val="96"/>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3754409">
      <w:bodyDiv w:val="1"/>
      <w:marLeft w:val="0"/>
      <w:marRight w:val="0"/>
      <w:marTop w:val="0"/>
      <w:marBottom w:val="0"/>
      <w:divBdr>
        <w:top w:val="none" w:sz="0" w:space="0" w:color="auto"/>
        <w:left w:val="none" w:sz="0" w:space="0" w:color="auto"/>
        <w:bottom w:val="none" w:sz="0" w:space="0" w:color="auto"/>
        <w:right w:val="none" w:sz="0" w:space="0" w:color="auto"/>
      </w:divBdr>
      <w:divsChild>
        <w:div w:id="990058533">
          <w:marLeft w:val="547"/>
          <w:marRight w:val="0"/>
          <w:marTop w:val="154"/>
          <w:marBottom w:val="0"/>
          <w:divBdr>
            <w:top w:val="none" w:sz="0" w:space="0" w:color="auto"/>
            <w:left w:val="none" w:sz="0" w:space="0" w:color="auto"/>
            <w:bottom w:val="none" w:sz="0" w:space="0" w:color="auto"/>
            <w:right w:val="none" w:sz="0" w:space="0" w:color="auto"/>
          </w:divBdr>
        </w:div>
      </w:divsChild>
    </w:div>
    <w:div w:id="1417097043">
      <w:bodyDiv w:val="1"/>
      <w:marLeft w:val="0"/>
      <w:marRight w:val="0"/>
      <w:marTop w:val="0"/>
      <w:marBottom w:val="0"/>
      <w:divBdr>
        <w:top w:val="none" w:sz="0" w:space="0" w:color="auto"/>
        <w:left w:val="none" w:sz="0" w:space="0" w:color="auto"/>
        <w:bottom w:val="none" w:sz="0" w:space="0" w:color="auto"/>
        <w:right w:val="none" w:sz="0" w:space="0" w:color="auto"/>
      </w:divBdr>
      <w:divsChild>
        <w:div w:id="102967568">
          <w:marLeft w:val="850"/>
          <w:marRight w:val="0"/>
          <w:marTop w:val="0"/>
          <w:marBottom w:val="0"/>
          <w:divBdr>
            <w:top w:val="none" w:sz="0" w:space="0" w:color="auto"/>
            <w:left w:val="none" w:sz="0" w:space="0" w:color="auto"/>
            <w:bottom w:val="none" w:sz="0" w:space="0" w:color="auto"/>
            <w:right w:val="none" w:sz="0" w:space="0" w:color="auto"/>
          </w:divBdr>
        </w:div>
        <w:div w:id="1597591973">
          <w:marLeft w:val="1699"/>
          <w:marRight w:val="0"/>
          <w:marTop w:val="0"/>
          <w:marBottom w:val="0"/>
          <w:divBdr>
            <w:top w:val="none" w:sz="0" w:space="0" w:color="auto"/>
            <w:left w:val="none" w:sz="0" w:space="0" w:color="auto"/>
            <w:bottom w:val="none" w:sz="0" w:space="0" w:color="auto"/>
            <w:right w:val="none" w:sz="0" w:space="0" w:color="auto"/>
          </w:divBdr>
        </w:div>
        <w:div w:id="610628187">
          <w:marLeft w:val="850"/>
          <w:marRight w:val="0"/>
          <w:marTop w:val="0"/>
          <w:marBottom w:val="0"/>
          <w:divBdr>
            <w:top w:val="none" w:sz="0" w:space="0" w:color="auto"/>
            <w:left w:val="none" w:sz="0" w:space="0" w:color="auto"/>
            <w:bottom w:val="none" w:sz="0" w:space="0" w:color="auto"/>
            <w:right w:val="none" w:sz="0" w:space="0" w:color="auto"/>
          </w:divBdr>
        </w:div>
        <w:div w:id="1201478053">
          <w:marLeft w:val="1699"/>
          <w:marRight w:val="0"/>
          <w:marTop w:val="0"/>
          <w:marBottom w:val="0"/>
          <w:divBdr>
            <w:top w:val="none" w:sz="0" w:space="0" w:color="auto"/>
            <w:left w:val="none" w:sz="0" w:space="0" w:color="auto"/>
            <w:bottom w:val="none" w:sz="0" w:space="0" w:color="auto"/>
            <w:right w:val="none" w:sz="0" w:space="0" w:color="auto"/>
          </w:divBdr>
        </w:div>
        <w:div w:id="770201646">
          <w:marLeft w:val="850"/>
          <w:marRight w:val="0"/>
          <w:marTop w:val="0"/>
          <w:marBottom w:val="0"/>
          <w:divBdr>
            <w:top w:val="none" w:sz="0" w:space="0" w:color="auto"/>
            <w:left w:val="none" w:sz="0" w:space="0" w:color="auto"/>
            <w:bottom w:val="none" w:sz="0" w:space="0" w:color="auto"/>
            <w:right w:val="none" w:sz="0" w:space="0" w:color="auto"/>
          </w:divBdr>
        </w:div>
        <w:div w:id="373163197">
          <w:marLeft w:val="1699"/>
          <w:marRight w:val="0"/>
          <w:marTop w:val="0"/>
          <w:marBottom w:val="0"/>
          <w:divBdr>
            <w:top w:val="none" w:sz="0" w:space="0" w:color="auto"/>
            <w:left w:val="none" w:sz="0" w:space="0" w:color="auto"/>
            <w:bottom w:val="none" w:sz="0" w:space="0" w:color="auto"/>
            <w:right w:val="none" w:sz="0" w:space="0" w:color="auto"/>
          </w:divBdr>
        </w:div>
        <w:div w:id="1220896560">
          <w:marLeft w:val="2261"/>
          <w:marRight w:val="0"/>
          <w:marTop w:val="0"/>
          <w:marBottom w:val="0"/>
          <w:divBdr>
            <w:top w:val="none" w:sz="0" w:space="0" w:color="auto"/>
            <w:left w:val="none" w:sz="0" w:space="0" w:color="auto"/>
            <w:bottom w:val="none" w:sz="0" w:space="0" w:color="auto"/>
            <w:right w:val="none" w:sz="0" w:space="0" w:color="auto"/>
          </w:divBdr>
        </w:div>
        <w:div w:id="1902206020">
          <w:marLeft w:val="3197"/>
          <w:marRight w:val="0"/>
          <w:marTop w:val="0"/>
          <w:marBottom w:val="0"/>
          <w:divBdr>
            <w:top w:val="none" w:sz="0" w:space="0" w:color="auto"/>
            <w:left w:val="none" w:sz="0" w:space="0" w:color="auto"/>
            <w:bottom w:val="none" w:sz="0" w:space="0" w:color="auto"/>
            <w:right w:val="none" w:sz="0" w:space="0" w:color="auto"/>
          </w:divBdr>
        </w:div>
        <w:div w:id="1096438071">
          <w:marLeft w:val="3197"/>
          <w:marRight w:val="0"/>
          <w:marTop w:val="0"/>
          <w:marBottom w:val="0"/>
          <w:divBdr>
            <w:top w:val="none" w:sz="0" w:space="0" w:color="auto"/>
            <w:left w:val="none" w:sz="0" w:space="0" w:color="auto"/>
            <w:bottom w:val="none" w:sz="0" w:space="0" w:color="auto"/>
            <w:right w:val="none" w:sz="0" w:space="0" w:color="auto"/>
          </w:divBdr>
        </w:div>
        <w:div w:id="165025461">
          <w:marLeft w:val="2261"/>
          <w:marRight w:val="0"/>
          <w:marTop w:val="0"/>
          <w:marBottom w:val="0"/>
          <w:divBdr>
            <w:top w:val="none" w:sz="0" w:space="0" w:color="auto"/>
            <w:left w:val="none" w:sz="0" w:space="0" w:color="auto"/>
            <w:bottom w:val="none" w:sz="0" w:space="0" w:color="auto"/>
            <w:right w:val="none" w:sz="0" w:space="0" w:color="auto"/>
          </w:divBdr>
        </w:div>
        <w:div w:id="1919747651">
          <w:marLeft w:val="3197"/>
          <w:marRight w:val="0"/>
          <w:marTop w:val="0"/>
          <w:marBottom w:val="0"/>
          <w:divBdr>
            <w:top w:val="none" w:sz="0" w:space="0" w:color="auto"/>
            <w:left w:val="none" w:sz="0" w:space="0" w:color="auto"/>
            <w:bottom w:val="none" w:sz="0" w:space="0" w:color="auto"/>
            <w:right w:val="none" w:sz="0" w:space="0" w:color="auto"/>
          </w:divBdr>
        </w:div>
        <w:div w:id="1197814052">
          <w:marLeft w:val="3197"/>
          <w:marRight w:val="0"/>
          <w:marTop w:val="0"/>
          <w:marBottom w:val="0"/>
          <w:divBdr>
            <w:top w:val="none" w:sz="0" w:space="0" w:color="auto"/>
            <w:left w:val="none" w:sz="0" w:space="0" w:color="auto"/>
            <w:bottom w:val="none" w:sz="0" w:space="0" w:color="auto"/>
            <w:right w:val="none" w:sz="0" w:space="0" w:color="auto"/>
          </w:divBdr>
        </w:div>
      </w:divsChild>
    </w:div>
    <w:div w:id="1433892617">
      <w:bodyDiv w:val="1"/>
      <w:marLeft w:val="0"/>
      <w:marRight w:val="0"/>
      <w:marTop w:val="0"/>
      <w:marBottom w:val="0"/>
      <w:divBdr>
        <w:top w:val="none" w:sz="0" w:space="0" w:color="auto"/>
        <w:left w:val="none" w:sz="0" w:space="0" w:color="auto"/>
        <w:bottom w:val="none" w:sz="0" w:space="0" w:color="auto"/>
        <w:right w:val="none" w:sz="0" w:space="0" w:color="auto"/>
      </w:divBdr>
      <w:divsChild>
        <w:div w:id="1225987956">
          <w:marLeft w:val="1166"/>
          <w:marRight w:val="0"/>
          <w:marTop w:val="0"/>
          <w:marBottom w:val="0"/>
          <w:divBdr>
            <w:top w:val="none" w:sz="0" w:space="0" w:color="auto"/>
            <w:left w:val="none" w:sz="0" w:space="0" w:color="auto"/>
            <w:bottom w:val="none" w:sz="0" w:space="0" w:color="auto"/>
            <w:right w:val="none" w:sz="0" w:space="0" w:color="auto"/>
          </w:divBdr>
        </w:div>
        <w:div w:id="1006714884">
          <w:marLeft w:val="1800"/>
          <w:marRight w:val="0"/>
          <w:marTop w:val="0"/>
          <w:marBottom w:val="0"/>
          <w:divBdr>
            <w:top w:val="none" w:sz="0" w:space="0" w:color="auto"/>
            <w:left w:val="none" w:sz="0" w:space="0" w:color="auto"/>
            <w:bottom w:val="none" w:sz="0" w:space="0" w:color="auto"/>
            <w:right w:val="none" w:sz="0" w:space="0" w:color="auto"/>
          </w:divBdr>
        </w:div>
        <w:div w:id="1570075498">
          <w:marLeft w:val="180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558108">
      <w:bodyDiv w:val="1"/>
      <w:marLeft w:val="0"/>
      <w:marRight w:val="0"/>
      <w:marTop w:val="0"/>
      <w:marBottom w:val="0"/>
      <w:divBdr>
        <w:top w:val="none" w:sz="0" w:space="0" w:color="auto"/>
        <w:left w:val="none" w:sz="0" w:space="0" w:color="auto"/>
        <w:bottom w:val="none" w:sz="0" w:space="0" w:color="auto"/>
        <w:right w:val="none" w:sz="0" w:space="0" w:color="auto"/>
      </w:divBdr>
      <w:divsChild>
        <w:div w:id="756098982">
          <w:marLeft w:val="2261"/>
          <w:marRight w:val="0"/>
          <w:marTop w:val="0"/>
          <w:marBottom w:val="0"/>
          <w:divBdr>
            <w:top w:val="none" w:sz="0" w:space="0" w:color="auto"/>
            <w:left w:val="none" w:sz="0" w:space="0" w:color="auto"/>
            <w:bottom w:val="none" w:sz="0" w:space="0" w:color="auto"/>
            <w:right w:val="none" w:sz="0" w:space="0" w:color="auto"/>
          </w:divBdr>
        </w:div>
        <w:div w:id="1194802572">
          <w:marLeft w:val="3197"/>
          <w:marRight w:val="0"/>
          <w:marTop w:val="0"/>
          <w:marBottom w:val="0"/>
          <w:divBdr>
            <w:top w:val="none" w:sz="0" w:space="0" w:color="auto"/>
            <w:left w:val="none" w:sz="0" w:space="0" w:color="auto"/>
            <w:bottom w:val="none" w:sz="0" w:space="0" w:color="auto"/>
            <w:right w:val="none" w:sz="0" w:space="0" w:color="auto"/>
          </w:divBdr>
        </w:div>
        <w:div w:id="1756319432">
          <w:marLeft w:val="3197"/>
          <w:marRight w:val="0"/>
          <w:marTop w:val="0"/>
          <w:marBottom w:val="0"/>
          <w:divBdr>
            <w:top w:val="none" w:sz="0" w:space="0" w:color="auto"/>
            <w:left w:val="none" w:sz="0" w:space="0" w:color="auto"/>
            <w:bottom w:val="none" w:sz="0" w:space="0" w:color="auto"/>
            <w:right w:val="none" w:sz="0" w:space="0" w:color="auto"/>
          </w:divBdr>
        </w:div>
        <w:div w:id="1905798293">
          <w:marLeft w:val="3197"/>
          <w:marRight w:val="0"/>
          <w:marTop w:val="0"/>
          <w:marBottom w:val="0"/>
          <w:divBdr>
            <w:top w:val="none" w:sz="0" w:space="0" w:color="auto"/>
            <w:left w:val="none" w:sz="0" w:space="0" w:color="auto"/>
            <w:bottom w:val="none" w:sz="0" w:space="0" w:color="auto"/>
            <w:right w:val="none" w:sz="0" w:space="0" w:color="auto"/>
          </w:divBdr>
        </w:div>
        <w:div w:id="628629719">
          <w:marLeft w:val="2261"/>
          <w:marRight w:val="0"/>
          <w:marTop w:val="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8323522">
      <w:bodyDiv w:val="1"/>
      <w:marLeft w:val="0"/>
      <w:marRight w:val="0"/>
      <w:marTop w:val="0"/>
      <w:marBottom w:val="0"/>
      <w:divBdr>
        <w:top w:val="none" w:sz="0" w:space="0" w:color="auto"/>
        <w:left w:val="none" w:sz="0" w:space="0" w:color="auto"/>
        <w:bottom w:val="none" w:sz="0" w:space="0" w:color="auto"/>
        <w:right w:val="none" w:sz="0" w:space="0" w:color="auto"/>
      </w:divBdr>
    </w:div>
    <w:div w:id="1588684220">
      <w:bodyDiv w:val="1"/>
      <w:marLeft w:val="0"/>
      <w:marRight w:val="0"/>
      <w:marTop w:val="0"/>
      <w:marBottom w:val="0"/>
      <w:divBdr>
        <w:top w:val="none" w:sz="0" w:space="0" w:color="auto"/>
        <w:left w:val="none" w:sz="0" w:space="0" w:color="auto"/>
        <w:bottom w:val="none" w:sz="0" w:space="0" w:color="auto"/>
        <w:right w:val="none" w:sz="0" w:space="0" w:color="auto"/>
      </w:divBdr>
      <w:divsChild>
        <w:div w:id="513887814">
          <w:marLeft w:val="850"/>
          <w:marRight w:val="0"/>
          <w:marTop w:val="0"/>
          <w:marBottom w:val="0"/>
          <w:divBdr>
            <w:top w:val="none" w:sz="0" w:space="0" w:color="auto"/>
            <w:left w:val="none" w:sz="0" w:space="0" w:color="auto"/>
            <w:bottom w:val="none" w:sz="0" w:space="0" w:color="auto"/>
            <w:right w:val="none" w:sz="0" w:space="0" w:color="auto"/>
          </w:divBdr>
        </w:div>
        <w:div w:id="1210067648">
          <w:marLeft w:val="1699"/>
          <w:marRight w:val="0"/>
          <w:marTop w:val="0"/>
          <w:marBottom w:val="0"/>
          <w:divBdr>
            <w:top w:val="none" w:sz="0" w:space="0" w:color="auto"/>
            <w:left w:val="none" w:sz="0" w:space="0" w:color="auto"/>
            <w:bottom w:val="none" w:sz="0" w:space="0" w:color="auto"/>
            <w:right w:val="none" w:sz="0" w:space="0" w:color="auto"/>
          </w:divBdr>
        </w:div>
        <w:div w:id="1566911292">
          <w:marLeft w:val="850"/>
          <w:marRight w:val="0"/>
          <w:marTop w:val="0"/>
          <w:marBottom w:val="0"/>
          <w:divBdr>
            <w:top w:val="none" w:sz="0" w:space="0" w:color="auto"/>
            <w:left w:val="none" w:sz="0" w:space="0" w:color="auto"/>
            <w:bottom w:val="none" w:sz="0" w:space="0" w:color="auto"/>
            <w:right w:val="none" w:sz="0" w:space="0" w:color="auto"/>
          </w:divBdr>
        </w:div>
        <w:div w:id="258955965">
          <w:marLeft w:val="1699"/>
          <w:marRight w:val="0"/>
          <w:marTop w:val="0"/>
          <w:marBottom w:val="0"/>
          <w:divBdr>
            <w:top w:val="none" w:sz="0" w:space="0" w:color="auto"/>
            <w:left w:val="none" w:sz="0" w:space="0" w:color="auto"/>
            <w:bottom w:val="none" w:sz="0" w:space="0" w:color="auto"/>
            <w:right w:val="none" w:sz="0" w:space="0" w:color="auto"/>
          </w:divBdr>
        </w:div>
        <w:div w:id="1832410794">
          <w:marLeft w:val="850"/>
          <w:marRight w:val="0"/>
          <w:marTop w:val="0"/>
          <w:marBottom w:val="0"/>
          <w:divBdr>
            <w:top w:val="none" w:sz="0" w:space="0" w:color="auto"/>
            <w:left w:val="none" w:sz="0" w:space="0" w:color="auto"/>
            <w:bottom w:val="none" w:sz="0" w:space="0" w:color="auto"/>
            <w:right w:val="none" w:sz="0" w:space="0" w:color="auto"/>
          </w:divBdr>
        </w:div>
        <w:div w:id="85853160">
          <w:marLeft w:val="1699"/>
          <w:marRight w:val="0"/>
          <w:marTop w:val="0"/>
          <w:marBottom w:val="0"/>
          <w:divBdr>
            <w:top w:val="none" w:sz="0" w:space="0" w:color="auto"/>
            <w:left w:val="none" w:sz="0" w:space="0" w:color="auto"/>
            <w:bottom w:val="none" w:sz="0" w:space="0" w:color="auto"/>
            <w:right w:val="none" w:sz="0" w:space="0" w:color="auto"/>
          </w:divBdr>
        </w:div>
        <w:div w:id="1184590495">
          <w:marLeft w:val="2261"/>
          <w:marRight w:val="0"/>
          <w:marTop w:val="0"/>
          <w:marBottom w:val="0"/>
          <w:divBdr>
            <w:top w:val="none" w:sz="0" w:space="0" w:color="auto"/>
            <w:left w:val="none" w:sz="0" w:space="0" w:color="auto"/>
            <w:bottom w:val="none" w:sz="0" w:space="0" w:color="auto"/>
            <w:right w:val="none" w:sz="0" w:space="0" w:color="auto"/>
          </w:divBdr>
        </w:div>
        <w:div w:id="935089612">
          <w:marLeft w:val="3197"/>
          <w:marRight w:val="0"/>
          <w:marTop w:val="0"/>
          <w:marBottom w:val="0"/>
          <w:divBdr>
            <w:top w:val="none" w:sz="0" w:space="0" w:color="auto"/>
            <w:left w:val="none" w:sz="0" w:space="0" w:color="auto"/>
            <w:bottom w:val="none" w:sz="0" w:space="0" w:color="auto"/>
            <w:right w:val="none" w:sz="0" w:space="0" w:color="auto"/>
          </w:divBdr>
        </w:div>
        <w:div w:id="1056509781">
          <w:marLeft w:val="3197"/>
          <w:marRight w:val="0"/>
          <w:marTop w:val="0"/>
          <w:marBottom w:val="0"/>
          <w:divBdr>
            <w:top w:val="none" w:sz="0" w:space="0" w:color="auto"/>
            <w:left w:val="none" w:sz="0" w:space="0" w:color="auto"/>
            <w:bottom w:val="none" w:sz="0" w:space="0" w:color="auto"/>
            <w:right w:val="none" w:sz="0" w:space="0" w:color="auto"/>
          </w:divBdr>
        </w:div>
        <w:div w:id="1447389339">
          <w:marLeft w:val="2261"/>
          <w:marRight w:val="0"/>
          <w:marTop w:val="0"/>
          <w:marBottom w:val="0"/>
          <w:divBdr>
            <w:top w:val="none" w:sz="0" w:space="0" w:color="auto"/>
            <w:left w:val="none" w:sz="0" w:space="0" w:color="auto"/>
            <w:bottom w:val="none" w:sz="0" w:space="0" w:color="auto"/>
            <w:right w:val="none" w:sz="0" w:space="0" w:color="auto"/>
          </w:divBdr>
        </w:div>
        <w:div w:id="1582712955">
          <w:marLeft w:val="3197"/>
          <w:marRight w:val="0"/>
          <w:marTop w:val="0"/>
          <w:marBottom w:val="0"/>
          <w:divBdr>
            <w:top w:val="none" w:sz="0" w:space="0" w:color="auto"/>
            <w:left w:val="none" w:sz="0" w:space="0" w:color="auto"/>
            <w:bottom w:val="none" w:sz="0" w:space="0" w:color="auto"/>
            <w:right w:val="none" w:sz="0" w:space="0" w:color="auto"/>
          </w:divBdr>
        </w:div>
        <w:div w:id="266698453">
          <w:marLeft w:val="319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59770858">
      <w:bodyDiv w:val="1"/>
      <w:marLeft w:val="0"/>
      <w:marRight w:val="0"/>
      <w:marTop w:val="0"/>
      <w:marBottom w:val="0"/>
      <w:divBdr>
        <w:top w:val="none" w:sz="0" w:space="0" w:color="auto"/>
        <w:left w:val="none" w:sz="0" w:space="0" w:color="auto"/>
        <w:bottom w:val="none" w:sz="0" w:space="0" w:color="auto"/>
        <w:right w:val="none" w:sz="0" w:space="0" w:color="auto"/>
      </w:divBdr>
      <w:divsChild>
        <w:div w:id="1960716728">
          <w:marLeft w:val="850"/>
          <w:marRight w:val="0"/>
          <w:marTop w:val="0"/>
          <w:marBottom w:val="0"/>
          <w:divBdr>
            <w:top w:val="none" w:sz="0" w:space="0" w:color="auto"/>
            <w:left w:val="none" w:sz="0" w:space="0" w:color="auto"/>
            <w:bottom w:val="none" w:sz="0" w:space="0" w:color="auto"/>
            <w:right w:val="none" w:sz="0" w:space="0" w:color="auto"/>
          </w:divBdr>
        </w:div>
        <w:div w:id="1926070239">
          <w:marLeft w:val="2261"/>
          <w:marRight w:val="0"/>
          <w:marTop w:val="0"/>
          <w:marBottom w:val="0"/>
          <w:divBdr>
            <w:top w:val="none" w:sz="0" w:space="0" w:color="auto"/>
            <w:left w:val="none" w:sz="0" w:space="0" w:color="auto"/>
            <w:bottom w:val="none" w:sz="0" w:space="0" w:color="auto"/>
            <w:right w:val="none" w:sz="0" w:space="0" w:color="auto"/>
          </w:divBdr>
        </w:div>
        <w:div w:id="226305810">
          <w:marLeft w:val="3197"/>
          <w:marRight w:val="0"/>
          <w:marTop w:val="0"/>
          <w:marBottom w:val="0"/>
          <w:divBdr>
            <w:top w:val="none" w:sz="0" w:space="0" w:color="auto"/>
            <w:left w:val="none" w:sz="0" w:space="0" w:color="auto"/>
            <w:bottom w:val="none" w:sz="0" w:space="0" w:color="auto"/>
            <w:right w:val="none" w:sz="0" w:space="0" w:color="auto"/>
          </w:divBdr>
        </w:div>
        <w:div w:id="1937597861">
          <w:marLeft w:val="3197"/>
          <w:marRight w:val="0"/>
          <w:marTop w:val="0"/>
          <w:marBottom w:val="0"/>
          <w:divBdr>
            <w:top w:val="none" w:sz="0" w:space="0" w:color="auto"/>
            <w:left w:val="none" w:sz="0" w:space="0" w:color="auto"/>
            <w:bottom w:val="none" w:sz="0" w:space="0" w:color="auto"/>
            <w:right w:val="none" w:sz="0" w:space="0" w:color="auto"/>
          </w:divBdr>
        </w:div>
        <w:div w:id="1298880774">
          <w:marLeft w:val="3197"/>
          <w:marRight w:val="0"/>
          <w:marTop w:val="0"/>
          <w:marBottom w:val="0"/>
          <w:divBdr>
            <w:top w:val="none" w:sz="0" w:space="0" w:color="auto"/>
            <w:left w:val="none" w:sz="0" w:space="0" w:color="auto"/>
            <w:bottom w:val="none" w:sz="0" w:space="0" w:color="auto"/>
            <w:right w:val="none" w:sz="0" w:space="0" w:color="auto"/>
          </w:divBdr>
        </w:div>
        <w:div w:id="1904410902">
          <w:marLeft w:val="2261"/>
          <w:marRight w:val="0"/>
          <w:marTop w:val="0"/>
          <w:marBottom w:val="0"/>
          <w:divBdr>
            <w:top w:val="none" w:sz="0" w:space="0" w:color="auto"/>
            <w:left w:val="none" w:sz="0" w:space="0" w:color="auto"/>
            <w:bottom w:val="none" w:sz="0" w:space="0" w:color="auto"/>
            <w:right w:val="none" w:sz="0" w:space="0" w:color="auto"/>
          </w:divBdr>
        </w:div>
        <w:div w:id="807865560">
          <w:marLeft w:val="850"/>
          <w:marRight w:val="0"/>
          <w:marTop w:val="0"/>
          <w:marBottom w:val="0"/>
          <w:divBdr>
            <w:top w:val="none" w:sz="0" w:space="0" w:color="auto"/>
            <w:left w:val="none" w:sz="0" w:space="0" w:color="auto"/>
            <w:bottom w:val="none" w:sz="0" w:space="0" w:color="auto"/>
            <w:right w:val="none" w:sz="0" w:space="0" w:color="auto"/>
          </w:divBdr>
        </w:div>
        <w:div w:id="427433060">
          <w:marLeft w:val="2261"/>
          <w:marRight w:val="0"/>
          <w:marTop w:val="0"/>
          <w:marBottom w:val="0"/>
          <w:divBdr>
            <w:top w:val="none" w:sz="0" w:space="0" w:color="auto"/>
            <w:left w:val="none" w:sz="0" w:space="0" w:color="auto"/>
            <w:bottom w:val="none" w:sz="0" w:space="0" w:color="auto"/>
            <w:right w:val="none" w:sz="0" w:space="0" w:color="auto"/>
          </w:divBdr>
        </w:div>
        <w:div w:id="386494569">
          <w:marLeft w:val="3197"/>
          <w:marRight w:val="0"/>
          <w:marTop w:val="0"/>
          <w:marBottom w:val="0"/>
          <w:divBdr>
            <w:top w:val="none" w:sz="0" w:space="0" w:color="auto"/>
            <w:left w:val="none" w:sz="0" w:space="0" w:color="auto"/>
            <w:bottom w:val="none" w:sz="0" w:space="0" w:color="auto"/>
            <w:right w:val="none" w:sz="0" w:space="0" w:color="auto"/>
          </w:divBdr>
        </w:div>
        <w:div w:id="1872180327">
          <w:marLeft w:val="3197"/>
          <w:marRight w:val="0"/>
          <w:marTop w:val="0"/>
          <w:marBottom w:val="0"/>
          <w:divBdr>
            <w:top w:val="none" w:sz="0" w:space="0" w:color="auto"/>
            <w:left w:val="none" w:sz="0" w:space="0" w:color="auto"/>
            <w:bottom w:val="none" w:sz="0" w:space="0" w:color="auto"/>
            <w:right w:val="none" w:sz="0" w:space="0" w:color="auto"/>
          </w:divBdr>
        </w:div>
        <w:div w:id="850534183">
          <w:marLeft w:val="3197"/>
          <w:marRight w:val="0"/>
          <w:marTop w:val="0"/>
          <w:marBottom w:val="0"/>
          <w:divBdr>
            <w:top w:val="none" w:sz="0" w:space="0" w:color="auto"/>
            <w:left w:val="none" w:sz="0" w:space="0" w:color="auto"/>
            <w:bottom w:val="none" w:sz="0" w:space="0" w:color="auto"/>
            <w:right w:val="none" w:sz="0" w:space="0" w:color="auto"/>
          </w:divBdr>
        </w:div>
        <w:div w:id="1816481877">
          <w:marLeft w:val="2261"/>
          <w:marRight w:val="0"/>
          <w:marTop w:val="0"/>
          <w:marBottom w:val="0"/>
          <w:divBdr>
            <w:top w:val="none" w:sz="0" w:space="0" w:color="auto"/>
            <w:left w:val="none" w:sz="0" w:space="0" w:color="auto"/>
            <w:bottom w:val="none" w:sz="0" w:space="0" w:color="auto"/>
            <w:right w:val="none" w:sz="0" w:space="0" w:color="auto"/>
          </w:divBdr>
        </w:div>
      </w:divsChild>
    </w:div>
    <w:div w:id="168015474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647024">
      <w:bodyDiv w:val="1"/>
      <w:marLeft w:val="0"/>
      <w:marRight w:val="0"/>
      <w:marTop w:val="0"/>
      <w:marBottom w:val="0"/>
      <w:divBdr>
        <w:top w:val="none" w:sz="0" w:space="0" w:color="auto"/>
        <w:left w:val="none" w:sz="0" w:space="0" w:color="auto"/>
        <w:bottom w:val="none" w:sz="0" w:space="0" w:color="auto"/>
        <w:right w:val="none" w:sz="0" w:space="0" w:color="auto"/>
      </w:divBdr>
      <w:divsChild>
        <w:div w:id="638924764">
          <w:marLeft w:val="547"/>
          <w:marRight w:val="0"/>
          <w:marTop w:val="154"/>
          <w:marBottom w:val="0"/>
          <w:divBdr>
            <w:top w:val="none" w:sz="0" w:space="0" w:color="auto"/>
            <w:left w:val="none" w:sz="0" w:space="0" w:color="auto"/>
            <w:bottom w:val="none" w:sz="0" w:space="0" w:color="auto"/>
            <w:right w:val="none" w:sz="0" w:space="0" w:color="auto"/>
          </w:divBdr>
        </w:div>
        <w:div w:id="782189138">
          <w:marLeft w:val="547"/>
          <w:marRight w:val="0"/>
          <w:marTop w:val="154"/>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620561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430054157">
          <w:marLeft w:val="0"/>
          <w:marRight w:val="0"/>
          <w:marTop w:val="0"/>
          <w:marBottom w:val="0"/>
          <w:divBdr>
            <w:top w:val="none" w:sz="0" w:space="0" w:color="auto"/>
            <w:left w:val="none" w:sz="0" w:space="0" w:color="auto"/>
            <w:bottom w:val="none" w:sz="0" w:space="0" w:color="auto"/>
            <w:right w:val="none" w:sz="0" w:space="0" w:color="auto"/>
          </w:divBdr>
        </w:div>
        <w:div w:id="1069110860">
          <w:marLeft w:val="0"/>
          <w:marRight w:val="0"/>
          <w:marTop w:val="0"/>
          <w:marBottom w:val="0"/>
          <w:divBdr>
            <w:top w:val="none" w:sz="0" w:space="0" w:color="auto"/>
            <w:left w:val="none" w:sz="0" w:space="0" w:color="auto"/>
            <w:bottom w:val="none" w:sz="0" w:space="0" w:color="auto"/>
            <w:right w:val="none" w:sz="0" w:space="0" w:color="auto"/>
          </w:divBdr>
        </w:div>
        <w:div w:id="1222641271">
          <w:marLeft w:val="0"/>
          <w:marRight w:val="0"/>
          <w:marTop w:val="0"/>
          <w:marBottom w:val="0"/>
          <w:divBdr>
            <w:top w:val="none" w:sz="0" w:space="0" w:color="auto"/>
            <w:left w:val="none" w:sz="0" w:space="0" w:color="auto"/>
            <w:bottom w:val="none" w:sz="0" w:space="0" w:color="auto"/>
            <w:right w:val="none" w:sz="0" w:space="0" w:color="auto"/>
          </w:divBdr>
        </w:div>
        <w:div w:id="378823175">
          <w:marLeft w:val="0"/>
          <w:marRight w:val="0"/>
          <w:marTop w:val="0"/>
          <w:marBottom w:val="0"/>
          <w:divBdr>
            <w:top w:val="none" w:sz="0" w:space="0" w:color="auto"/>
            <w:left w:val="none" w:sz="0" w:space="0" w:color="auto"/>
            <w:bottom w:val="none" w:sz="0" w:space="0" w:color="auto"/>
            <w:right w:val="none" w:sz="0" w:space="0" w:color="auto"/>
          </w:divBdr>
        </w:div>
        <w:div w:id="1374844395">
          <w:marLeft w:val="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2586082">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784963">
      <w:bodyDiv w:val="1"/>
      <w:marLeft w:val="0"/>
      <w:marRight w:val="0"/>
      <w:marTop w:val="0"/>
      <w:marBottom w:val="0"/>
      <w:divBdr>
        <w:top w:val="none" w:sz="0" w:space="0" w:color="auto"/>
        <w:left w:val="none" w:sz="0" w:space="0" w:color="auto"/>
        <w:bottom w:val="none" w:sz="0" w:space="0" w:color="auto"/>
        <w:right w:val="none" w:sz="0" w:space="0" w:color="auto"/>
      </w:divBdr>
      <w:divsChild>
        <w:div w:id="1957977618">
          <w:marLeft w:val="749"/>
          <w:marRight w:val="0"/>
          <w:marTop w:val="200"/>
          <w:marBottom w:val="0"/>
          <w:divBdr>
            <w:top w:val="none" w:sz="0" w:space="0" w:color="auto"/>
            <w:left w:val="none" w:sz="0" w:space="0" w:color="auto"/>
            <w:bottom w:val="none" w:sz="0" w:space="0" w:color="auto"/>
            <w:right w:val="none" w:sz="0" w:space="0" w:color="auto"/>
          </w:divBdr>
        </w:div>
        <w:div w:id="1360089140">
          <w:marLeft w:val="1757"/>
          <w:marRight w:val="0"/>
          <w:marTop w:val="20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7267573">
      <w:bodyDiv w:val="1"/>
      <w:marLeft w:val="0"/>
      <w:marRight w:val="0"/>
      <w:marTop w:val="0"/>
      <w:marBottom w:val="0"/>
      <w:divBdr>
        <w:top w:val="none" w:sz="0" w:space="0" w:color="auto"/>
        <w:left w:val="none" w:sz="0" w:space="0" w:color="auto"/>
        <w:bottom w:val="none" w:sz="0" w:space="0" w:color="auto"/>
        <w:right w:val="none" w:sz="0" w:space="0" w:color="auto"/>
      </w:divBdr>
      <w:divsChild>
        <w:div w:id="427123167">
          <w:marLeft w:val="749"/>
          <w:marRight w:val="0"/>
          <w:marTop w:val="200"/>
          <w:marBottom w:val="0"/>
          <w:divBdr>
            <w:top w:val="none" w:sz="0" w:space="0" w:color="auto"/>
            <w:left w:val="none" w:sz="0" w:space="0" w:color="auto"/>
            <w:bottom w:val="none" w:sz="0" w:space="0" w:color="auto"/>
            <w:right w:val="none" w:sz="0" w:space="0" w:color="auto"/>
          </w:divBdr>
        </w:div>
        <w:div w:id="17588157">
          <w:marLeft w:val="1757"/>
          <w:marRight w:val="0"/>
          <w:marTop w:val="200"/>
          <w:marBottom w:val="0"/>
          <w:divBdr>
            <w:top w:val="none" w:sz="0" w:space="0" w:color="auto"/>
            <w:left w:val="none" w:sz="0" w:space="0" w:color="auto"/>
            <w:bottom w:val="none" w:sz="0" w:space="0" w:color="auto"/>
            <w:right w:val="none" w:sz="0" w:space="0" w:color="auto"/>
          </w:divBdr>
        </w:div>
      </w:divsChild>
    </w:div>
    <w:div w:id="21176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77898-EAB7-4504-A204-07AC8DB3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1703</Words>
  <Characters>9713</Characters>
  <Application>Microsoft Office Word</Application>
  <DocSecurity>0</DocSecurity>
  <Lines>80</Lines>
  <Paragraphs>22</Paragraphs>
  <ScaleCrop>false</ScaleCrop>
  <Company>vivo mobile communication co.</Company>
  <LinksUpToDate>false</LinksUpToDate>
  <CharactersWithSpaces>11394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5</cp:revision>
  <cp:lastPrinted>2008-12-09T03:19:00Z</cp:lastPrinted>
  <dcterms:created xsi:type="dcterms:W3CDTF">2017-11-17T14:56:00Z</dcterms:created>
  <dcterms:modified xsi:type="dcterms:W3CDTF">2017-11-18T04:31:00Z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